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1A4C9" w14:textId="77777777" w:rsidR="00C45759" w:rsidRPr="007B2099" w:rsidRDefault="00C45759" w:rsidP="00DE53FD">
      <w:pPr>
        <w:pStyle w:val="Default"/>
        <w:ind w:left="567" w:right="567"/>
        <w:jc w:val="center"/>
        <w:rPr>
          <w:sz w:val="22"/>
          <w:szCs w:val="22"/>
        </w:rPr>
      </w:pPr>
      <w:bookmarkStart w:id="0" w:name="_GoBack"/>
      <w:bookmarkEnd w:id="0"/>
      <w:r w:rsidRPr="007B2099">
        <w:rPr>
          <w:b/>
          <w:noProof/>
          <w:sz w:val="22"/>
          <w:szCs w:val="22"/>
          <w:lang w:eastAsia="en-ZA"/>
        </w:rPr>
        <w:drawing>
          <wp:inline distT="0" distB="0" distL="0" distR="0" wp14:anchorId="344939C4" wp14:editId="7839E8DE">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38FB9075" w14:textId="77777777" w:rsidR="00C45759" w:rsidRPr="007B2099" w:rsidRDefault="00C45759" w:rsidP="00DE53FD">
      <w:pPr>
        <w:pStyle w:val="Default"/>
        <w:ind w:left="567" w:right="567"/>
        <w:rPr>
          <w:b/>
          <w:bCs/>
          <w:sz w:val="22"/>
          <w:szCs w:val="22"/>
        </w:rPr>
      </w:pPr>
    </w:p>
    <w:p w14:paraId="25E19F63" w14:textId="77777777" w:rsidR="00C45759" w:rsidRPr="007B2099" w:rsidRDefault="00C45759" w:rsidP="00DE53FD">
      <w:pPr>
        <w:pStyle w:val="Default"/>
        <w:ind w:left="567" w:right="567"/>
        <w:rPr>
          <w:b/>
          <w:bCs/>
          <w:sz w:val="22"/>
          <w:szCs w:val="22"/>
        </w:rPr>
      </w:pPr>
    </w:p>
    <w:p w14:paraId="5BAC6C5C" w14:textId="77777777" w:rsidR="00C45759" w:rsidRPr="007B2099" w:rsidRDefault="00C45759" w:rsidP="00DE53FD">
      <w:pPr>
        <w:spacing w:after="0"/>
        <w:ind w:left="567" w:right="567"/>
        <w:jc w:val="center"/>
        <w:rPr>
          <w:rFonts w:ascii="Arial" w:hAnsi="Arial" w:cs="Arial"/>
          <w:b/>
        </w:rPr>
      </w:pPr>
    </w:p>
    <w:p w14:paraId="00C5E5A2" w14:textId="77777777" w:rsidR="00C45759" w:rsidRPr="007B2099" w:rsidRDefault="00C45759" w:rsidP="00DE53FD">
      <w:pPr>
        <w:spacing w:after="0" w:line="240" w:lineRule="auto"/>
        <w:ind w:left="567" w:right="567"/>
        <w:jc w:val="center"/>
        <w:rPr>
          <w:rFonts w:ascii="Arial" w:hAnsi="Arial" w:cs="Arial"/>
          <w:b/>
        </w:rPr>
      </w:pPr>
      <w:r w:rsidRPr="007B2099">
        <w:rPr>
          <w:rFonts w:ascii="Arial" w:hAnsi="Arial" w:cs="Arial"/>
          <w:b/>
        </w:rPr>
        <w:t>TRIBUNAL</w:t>
      </w:r>
      <w:r w:rsidR="008E5895" w:rsidRPr="007B2099">
        <w:rPr>
          <w:rFonts w:ascii="Arial" w:hAnsi="Arial" w:cs="Arial"/>
          <w:b/>
        </w:rPr>
        <w:t xml:space="preserve"> </w:t>
      </w:r>
      <w:r w:rsidR="001E5798" w:rsidRPr="007B2099">
        <w:rPr>
          <w:rFonts w:ascii="Arial" w:hAnsi="Arial" w:cs="Arial"/>
          <w:b/>
        </w:rPr>
        <w:t xml:space="preserve">DECISIONS </w:t>
      </w:r>
      <w:r w:rsidR="008E5895" w:rsidRPr="007B2099">
        <w:rPr>
          <w:rFonts w:ascii="Arial" w:hAnsi="Arial" w:cs="Arial"/>
          <w:b/>
        </w:rPr>
        <w:t xml:space="preserve">FOR WEDNESDAY, 4 </w:t>
      </w:r>
      <w:proofErr w:type="gramStart"/>
      <w:r w:rsidR="008E5895" w:rsidRPr="007B2099">
        <w:rPr>
          <w:rFonts w:ascii="Arial" w:hAnsi="Arial" w:cs="Arial"/>
          <w:b/>
        </w:rPr>
        <w:t>OCTOBER</w:t>
      </w:r>
      <w:r w:rsidRPr="007B2099">
        <w:rPr>
          <w:rFonts w:ascii="Arial" w:hAnsi="Arial" w:cs="Arial"/>
          <w:b/>
        </w:rPr>
        <w:t>,</w:t>
      </w:r>
      <w:proofErr w:type="gramEnd"/>
      <w:r w:rsidRPr="007B2099">
        <w:rPr>
          <w:rFonts w:ascii="Arial" w:hAnsi="Arial" w:cs="Arial"/>
          <w:b/>
        </w:rPr>
        <w:t xml:space="preserve"> 2017</w:t>
      </w:r>
    </w:p>
    <w:p w14:paraId="43073405" w14:textId="77777777" w:rsidR="00C45759" w:rsidRPr="007B2099" w:rsidRDefault="00C45759" w:rsidP="00DE53FD">
      <w:pPr>
        <w:ind w:left="567" w:right="567"/>
        <w:jc w:val="both"/>
        <w:rPr>
          <w:rFonts w:ascii="Arial" w:hAnsi="Arial" w:cs="Arial"/>
        </w:rPr>
      </w:pPr>
    </w:p>
    <w:tbl>
      <w:tblPr>
        <w:tblStyle w:val="TableGrid"/>
        <w:tblW w:w="9172" w:type="dxa"/>
        <w:tblInd w:w="137"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552"/>
        <w:gridCol w:w="2822"/>
        <w:gridCol w:w="2682"/>
        <w:gridCol w:w="2116"/>
      </w:tblGrid>
      <w:tr w:rsidR="001E5798" w:rsidRPr="007B2099" w14:paraId="3CDB01F1" w14:textId="77777777" w:rsidTr="007B2099">
        <w:trPr>
          <w:trHeight w:val="814"/>
        </w:trPr>
        <w:tc>
          <w:tcPr>
            <w:tcW w:w="1552" w:type="dxa"/>
            <w:shd w:val="clear" w:color="auto" w:fill="996633"/>
          </w:tcPr>
          <w:p w14:paraId="06637831" w14:textId="77777777"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Type of matter</w:t>
            </w:r>
          </w:p>
        </w:tc>
        <w:tc>
          <w:tcPr>
            <w:tcW w:w="2822" w:type="dxa"/>
            <w:shd w:val="clear" w:color="auto" w:fill="996633"/>
          </w:tcPr>
          <w:p w14:paraId="31069C9C" w14:textId="77777777"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Parties involved</w:t>
            </w:r>
          </w:p>
        </w:tc>
        <w:tc>
          <w:tcPr>
            <w:tcW w:w="2682" w:type="dxa"/>
            <w:shd w:val="clear" w:color="auto" w:fill="996633"/>
          </w:tcPr>
          <w:p w14:paraId="65B2D7F9" w14:textId="77777777"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Competition Commission’s recommendation to Tribunal</w:t>
            </w:r>
          </w:p>
        </w:tc>
        <w:tc>
          <w:tcPr>
            <w:tcW w:w="2116" w:type="dxa"/>
            <w:shd w:val="clear" w:color="auto" w:fill="996633"/>
          </w:tcPr>
          <w:p w14:paraId="19145A5B" w14:textId="77777777"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 xml:space="preserve">Tribunal decisions </w:t>
            </w:r>
          </w:p>
        </w:tc>
      </w:tr>
      <w:tr w:rsidR="001E5798" w:rsidRPr="007B2099" w14:paraId="415E7825" w14:textId="77777777" w:rsidTr="007B2099">
        <w:trPr>
          <w:trHeight w:val="413"/>
        </w:trPr>
        <w:tc>
          <w:tcPr>
            <w:tcW w:w="1552" w:type="dxa"/>
          </w:tcPr>
          <w:p w14:paraId="38E64CD3" w14:textId="77777777" w:rsidR="001E5798" w:rsidRPr="007B2099" w:rsidRDefault="001E5798" w:rsidP="00DE53FD">
            <w:pPr>
              <w:ind w:right="567"/>
              <w:jc w:val="both"/>
              <w:rPr>
                <w:rFonts w:ascii="Arial" w:hAnsi="Arial" w:cs="Arial"/>
              </w:rPr>
            </w:pPr>
            <w:r w:rsidRPr="007B2099">
              <w:rPr>
                <w:rFonts w:ascii="Arial" w:hAnsi="Arial" w:cs="Arial"/>
              </w:rPr>
              <w:t xml:space="preserve">Large merger </w:t>
            </w:r>
          </w:p>
        </w:tc>
        <w:tc>
          <w:tcPr>
            <w:tcW w:w="2822" w:type="dxa"/>
          </w:tcPr>
          <w:p w14:paraId="761DFF0F" w14:textId="77777777" w:rsidR="001E5798" w:rsidRPr="007B2099" w:rsidRDefault="001E5798" w:rsidP="00DE53FD">
            <w:pPr>
              <w:ind w:right="567"/>
              <w:jc w:val="both"/>
              <w:rPr>
                <w:rFonts w:ascii="Arial" w:hAnsi="Arial" w:cs="Arial"/>
                <w:color w:val="000000"/>
              </w:rPr>
            </w:pPr>
            <w:r w:rsidRPr="007B2099">
              <w:rPr>
                <w:rFonts w:ascii="Arial" w:hAnsi="Arial" w:cs="Arial"/>
              </w:rPr>
              <w:t>Dimension Data Protocol BV and Hatch Investments (</w:t>
            </w:r>
            <w:proofErr w:type="spellStart"/>
            <w:r w:rsidRPr="007B2099">
              <w:rPr>
                <w:rFonts w:ascii="Arial" w:hAnsi="Arial" w:cs="Arial"/>
              </w:rPr>
              <w:t>Maurituis</w:t>
            </w:r>
            <w:proofErr w:type="spellEnd"/>
            <w:r w:rsidRPr="007B2099">
              <w:rPr>
                <w:rFonts w:ascii="Arial" w:hAnsi="Arial" w:cs="Arial"/>
              </w:rPr>
              <w:t>) Limited</w:t>
            </w:r>
          </w:p>
        </w:tc>
        <w:tc>
          <w:tcPr>
            <w:tcW w:w="2682" w:type="dxa"/>
          </w:tcPr>
          <w:p w14:paraId="77CEDC6E" w14:textId="77777777" w:rsidR="001E5798" w:rsidRPr="007B2099" w:rsidRDefault="001E5798" w:rsidP="00DE53FD">
            <w:pPr>
              <w:ind w:right="567"/>
              <w:jc w:val="both"/>
              <w:rPr>
                <w:rFonts w:ascii="Arial" w:hAnsi="Arial" w:cs="Arial"/>
              </w:rPr>
            </w:pPr>
            <w:r w:rsidRPr="007B2099">
              <w:rPr>
                <w:rFonts w:ascii="Arial" w:hAnsi="Arial" w:cs="Arial"/>
              </w:rPr>
              <w:t>Approve with conditions</w:t>
            </w:r>
          </w:p>
        </w:tc>
        <w:tc>
          <w:tcPr>
            <w:tcW w:w="2116" w:type="dxa"/>
          </w:tcPr>
          <w:p w14:paraId="55EB5D13" w14:textId="77777777" w:rsidR="001E5798" w:rsidRPr="007B2099" w:rsidRDefault="001E5798" w:rsidP="00DE53FD">
            <w:pPr>
              <w:ind w:right="567"/>
              <w:jc w:val="both"/>
              <w:rPr>
                <w:rFonts w:ascii="Arial" w:hAnsi="Arial" w:cs="Arial"/>
                <w:color w:val="806000" w:themeColor="accent4" w:themeShade="80"/>
              </w:rPr>
            </w:pPr>
            <w:r w:rsidRPr="007B2099">
              <w:rPr>
                <w:rFonts w:ascii="Arial" w:hAnsi="Arial" w:cs="Arial"/>
              </w:rPr>
              <w:t>Approve</w:t>
            </w:r>
            <w:r w:rsidR="00F0133F" w:rsidRPr="007B2099">
              <w:rPr>
                <w:rFonts w:ascii="Arial" w:hAnsi="Arial" w:cs="Arial"/>
              </w:rPr>
              <w:t>d</w:t>
            </w:r>
            <w:r w:rsidRPr="007B2099">
              <w:rPr>
                <w:rFonts w:ascii="Arial" w:hAnsi="Arial" w:cs="Arial"/>
              </w:rPr>
              <w:t xml:space="preserve"> with conditions </w:t>
            </w:r>
          </w:p>
        </w:tc>
      </w:tr>
      <w:tr w:rsidR="001E5798" w:rsidRPr="007B2099" w14:paraId="0AAB8066" w14:textId="77777777" w:rsidTr="007B2099">
        <w:trPr>
          <w:trHeight w:val="413"/>
        </w:trPr>
        <w:tc>
          <w:tcPr>
            <w:tcW w:w="1552" w:type="dxa"/>
          </w:tcPr>
          <w:p w14:paraId="6033FFE7" w14:textId="77777777" w:rsidR="001E5798" w:rsidRPr="007B2099" w:rsidRDefault="001E5798" w:rsidP="00DE53FD">
            <w:pPr>
              <w:ind w:right="567"/>
              <w:jc w:val="both"/>
              <w:rPr>
                <w:rFonts w:ascii="Arial" w:hAnsi="Arial" w:cs="Arial"/>
              </w:rPr>
            </w:pPr>
            <w:r w:rsidRPr="007B2099">
              <w:rPr>
                <w:rFonts w:ascii="Arial" w:hAnsi="Arial" w:cs="Arial"/>
              </w:rPr>
              <w:t>Large merger</w:t>
            </w:r>
          </w:p>
        </w:tc>
        <w:tc>
          <w:tcPr>
            <w:tcW w:w="2822" w:type="dxa"/>
          </w:tcPr>
          <w:p w14:paraId="45ED204D" w14:textId="77777777" w:rsidR="001E5798" w:rsidRPr="007B2099" w:rsidRDefault="001E5798" w:rsidP="00DE53FD">
            <w:pPr>
              <w:ind w:right="567"/>
              <w:jc w:val="both"/>
              <w:rPr>
                <w:rFonts w:ascii="Arial" w:hAnsi="Arial" w:cs="Arial"/>
              </w:rPr>
            </w:pPr>
            <w:r w:rsidRPr="007B2099">
              <w:rPr>
                <w:rFonts w:ascii="Arial" w:hAnsi="Arial" w:cs="Arial"/>
                <w:color w:val="000000"/>
              </w:rPr>
              <w:t>Government Employees Pension Fund, Unemployment Insurance Fund and Compensation Fund, Duly Represented by Public Investment Corporation SOC And AFGRI Poultry (Pty) Ltd T/A Daybreak Farms</w:t>
            </w:r>
          </w:p>
        </w:tc>
        <w:tc>
          <w:tcPr>
            <w:tcW w:w="2682" w:type="dxa"/>
          </w:tcPr>
          <w:p w14:paraId="34FD0C94" w14:textId="77777777" w:rsidR="001E5798" w:rsidRPr="007B2099" w:rsidRDefault="001E5798" w:rsidP="00DE53FD">
            <w:pPr>
              <w:ind w:right="567"/>
              <w:jc w:val="both"/>
              <w:rPr>
                <w:rFonts w:ascii="Arial" w:hAnsi="Arial" w:cs="Arial"/>
              </w:rPr>
            </w:pPr>
            <w:r w:rsidRPr="007B2099">
              <w:rPr>
                <w:rFonts w:ascii="Arial" w:hAnsi="Arial" w:cs="Arial"/>
              </w:rPr>
              <w:t>Approve with conditions</w:t>
            </w:r>
          </w:p>
        </w:tc>
        <w:tc>
          <w:tcPr>
            <w:tcW w:w="2116" w:type="dxa"/>
          </w:tcPr>
          <w:p w14:paraId="6AD8651A" w14:textId="77777777" w:rsidR="001E5798" w:rsidRPr="007B2099" w:rsidRDefault="001E5798" w:rsidP="00DE53FD">
            <w:pPr>
              <w:ind w:right="567"/>
              <w:jc w:val="both"/>
              <w:rPr>
                <w:rFonts w:ascii="Arial" w:hAnsi="Arial" w:cs="Arial"/>
              </w:rPr>
            </w:pPr>
            <w:r w:rsidRPr="007B2099">
              <w:rPr>
                <w:rFonts w:ascii="Arial" w:hAnsi="Arial" w:cs="Arial"/>
              </w:rPr>
              <w:t xml:space="preserve">Decision forthcoming </w:t>
            </w:r>
          </w:p>
        </w:tc>
      </w:tr>
      <w:tr w:rsidR="001E5798" w:rsidRPr="007B2099" w14:paraId="36D737FE" w14:textId="77777777" w:rsidTr="007B2099">
        <w:trPr>
          <w:trHeight w:val="58"/>
        </w:trPr>
        <w:tc>
          <w:tcPr>
            <w:tcW w:w="1552" w:type="dxa"/>
          </w:tcPr>
          <w:p w14:paraId="70697689"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t xml:space="preserve">Large merger </w:t>
            </w:r>
          </w:p>
        </w:tc>
        <w:tc>
          <w:tcPr>
            <w:tcW w:w="2822" w:type="dxa"/>
          </w:tcPr>
          <w:p w14:paraId="18F5496D"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t xml:space="preserve">Maersk Line A/S </w:t>
            </w:r>
            <w:proofErr w:type="gramStart"/>
            <w:r w:rsidRPr="007B2099">
              <w:rPr>
                <w:rFonts w:ascii="Arial" w:hAnsi="Arial" w:cs="Arial"/>
                <w:color w:val="000000"/>
              </w:rPr>
              <w:t>And</w:t>
            </w:r>
            <w:proofErr w:type="gramEnd"/>
            <w:r w:rsidRPr="007B2099">
              <w:rPr>
                <w:rFonts w:ascii="Arial" w:hAnsi="Arial" w:cs="Arial"/>
                <w:color w:val="000000"/>
              </w:rPr>
              <w:t xml:space="preserve"> Hamburg </w:t>
            </w:r>
            <w:proofErr w:type="spellStart"/>
            <w:r w:rsidRPr="007B2099">
              <w:rPr>
                <w:rFonts w:ascii="Arial" w:hAnsi="Arial" w:cs="Arial"/>
                <w:color w:val="000000"/>
              </w:rPr>
              <w:t>Sudamerikanische</w:t>
            </w:r>
            <w:proofErr w:type="spellEnd"/>
            <w:r w:rsidRPr="007B2099">
              <w:rPr>
                <w:rFonts w:ascii="Arial" w:hAnsi="Arial" w:cs="Arial"/>
                <w:color w:val="000000"/>
              </w:rPr>
              <w:t xml:space="preserve"> </w:t>
            </w:r>
            <w:proofErr w:type="spellStart"/>
            <w:r w:rsidRPr="007B2099">
              <w:rPr>
                <w:rFonts w:ascii="Arial" w:hAnsi="Arial" w:cs="Arial"/>
                <w:color w:val="000000"/>
              </w:rPr>
              <w:t>Dampfschiffahrts</w:t>
            </w:r>
            <w:proofErr w:type="spellEnd"/>
            <w:r w:rsidRPr="007B2099">
              <w:rPr>
                <w:rFonts w:ascii="Arial" w:hAnsi="Arial" w:cs="Arial"/>
                <w:color w:val="000000"/>
              </w:rPr>
              <w:t xml:space="preserve"> Gesellschaft KG</w:t>
            </w:r>
          </w:p>
        </w:tc>
        <w:tc>
          <w:tcPr>
            <w:tcW w:w="2682" w:type="dxa"/>
          </w:tcPr>
          <w:p w14:paraId="150EA48E" w14:textId="77777777" w:rsidR="001E5798" w:rsidRPr="007B2099" w:rsidRDefault="001E5798" w:rsidP="00DE53FD">
            <w:pPr>
              <w:ind w:right="567"/>
              <w:rPr>
                <w:rFonts w:ascii="Arial" w:hAnsi="Arial" w:cs="Arial"/>
              </w:rPr>
            </w:pPr>
            <w:r w:rsidRPr="007B2099">
              <w:rPr>
                <w:rFonts w:ascii="Arial" w:hAnsi="Arial" w:cs="Arial"/>
              </w:rPr>
              <w:t>Approve with conditions</w:t>
            </w:r>
          </w:p>
        </w:tc>
        <w:tc>
          <w:tcPr>
            <w:tcW w:w="2116" w:type="dxa"/>
          </w:tcPr>
          <w:p w14:paraId="6DCB99C6" w14:textId="77777777" w:rsidR="001E5798" w:rsidRPr="007B2099" w:rsidRDefault="008E420F" w:rsidP="00DE53FD">
            <w:pPr>
              <w:ind w:right="567"/>
              <w:rPr>
                <w:rFonts w:ascii="Arial" w:hAnsi="Arial" w:cs="Arial"/>
              </w:rPr>
            </w:pPr>
            <w:r w:rsidRPr="007B2099">
              <w:rPr>
                <w:rFonts w:ascii="Arial" w:hAnsi="Arial" w:cs="Arial"/>
              </w:rPr>
              <w:t>Approved with conditions</w:t>
            </w:r>
          </w:p>
        </w:tc>
      </w:tr>
      <w:tr w:rsidR="001E5798" w:rsidRPr="007B2099" w14:paraId="23792E44" w14:textId="77777777" w:rsidTr="007B2099">
        <w:trPr>
          <w:trHeight w:val="58"/>
        </w:trPr>
        <w:tc>
          <w:tcPr>
            <w:tcW w:w="1552" w:type="dxa"/>
          </w:tcPr>
          <w:p w14:paraId="798BD6DF"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t>Large merger</w:t>
            </w:r>
          </w:p>
        </w:tc>
        <w:tc>
          <w:tcPr>
            <w:tcW w:w="2822" w:type="dxa"/>
          </w:tcPr>
          <w:p w14:paraId="04BF33C8"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t xml:space="preserve">Fidelity Security Services (Pty) Ltd </w:t>
            </w:r>
            <w:proofErr w:type="gramStart"/>
            <w:r w:rsidRPr="007B2099">
              <w:rPr>
                <w:rFonts w:ascii="Arial" w:hAnsi="Arial" w:cs="Arial"/>
                <w:color w:val="000000"/>
              </w:rPr>
              <w:t>And</w:t>
            </w:r>
            <w:proofErr w:type="gramEnd"/>
            <w:r w:rsidRPr="007B2099">
              <w:rPr>
                <w:rFonts w:ascii="Arial" w:hAnsi="Arial" w:cs="Arial"/>
                <w:color w:val="000000"/>
              </w:rPr>
              <w:t xml:space="preserve"> Analytical Risk Management t/a 2RM Security 9In Business Rescue) and Other Entities Affiliated to 2RM</w:t>
            </w:r>
          </w:p>
        </w:tc>
        <w:tc>
          <w:tcPr>
            <w:tcW w:w="2682" w:type="dxa"/>
          </w:tcPr>
          <w:p w14:paraId="3632426B" w14:textId="77777777" w:rsidR="001E5798" w:rsidRPr="007B2099" w:rsidRDefault="001E5798" w:rsidP="00DE53FD">
            <w:pPr>
              <w:ind w:right="567"/>
              <w:rPr>
                <w:rFonts w:ascii="Arial" w:hAnsi="Arial" w:cs="Arial"/>
              </w:rPr>
            </w:pPr>
            <w:r w:rsidRPr="007B2099">
              <w:rPr>
                <w:rFonts w:ascii="Arial" w:hAnsi="Arial" w:cs="Arial"/>
              </w:rPr>
              <w:t xml:space="preserve">Approve without conditions </w:t>
            </w:r>
          </w:p>
        </w:tc>
        <w:tc>
          <w:tcPr>
            <w:tcW w:w="2116" w:type="dxa"/>
          </w:tcPr>
          <w:p w14:paraId="412AD6A4" w14:textId="77777777" w:rsidR="001E5798" w:rsidRPr="007B2099" w:rsidRDefault="00F31EE5" w:rsidP="00DE53FD">
            <w:pPr>
              <w:ind w:right="567"/>
              <w:rPr>
                <w:rFonts w:ascii="Arial" w:hAnsi="Arial" w:cs="Arial"/>
              </w:rPr>
            </w:pPr>
            <w:r w:rsidRPr="007B2099">
              <w:rPr>
                <w:rFonts w:ascii="Arial" w:hAnsi="Arial" w:cs="Arial"/>
              </w:rPr>
              <w:t>Approved with conditions</w:t>
            </w:r>
          </w:p>
        </w:tc>
      </w:tr>
      <w:tr w:rsidR="001E5798" w:rsidRPr="007B2099" w14:paraId="0B9CF359" w14:textId="77777777" w:rsidTr="007B2099">
        <w:trPr>
          <w:trHeight w:val="90"/>
        </w:trPr>
        <w:tc>
          <w:tcPr>
            <w:tcW w:w="1552" w:type="dxa"/>
          </w:tcPr>
          <w:p w14:paraId="7AF0B4A0"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lastRenderedPageBreak/>
              <w:t xml:space="preserve">Large merger </w:t>
            </w:r>
          </w:p>
        </w:tc>
        <w:tc>
          <w:tcPr>
            <w:tcW w:w="2822" w:type="dxa"/>
          </w:tcPr>
          <w:p w14:paraId="7F4E5ABA"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t xml:space="preserve">Omnia Group (Pty) Ltd </w:t>
            </w:r>
            <w:proofErr w:type="gramStart"/>
            <w:r w:rsidRPr="007B2099">
              <w:rPr>
                <w:rFonts w:ascii="Arial" w:hAnsi="Arial" w:cs="Arial"/>
                <w:color w:val="000000"/>
              </w:rPr>
              <w:t>And</w:t>
            </w:r>
            <w:proofErr w:type="gramEnd"/>
            <w:r w:rsidRPr="007B2099">
              <w:rPr>
                <w:rFonts w:ascii="Arial" w:hAnsi="Arial" w:cs="Arial"/>
                <w:color w:val="000000"/>
              </w:rPr>
              <w:t xml:space="preserve"> </w:t>
            </w:r>
            <w:proofErr w:type="spellStart"/>
            <w:r w:rsidRPr="007B2099">
              <w:rPr>
                <w:rFonts w:ascii="Arial" w:hAnsi="Arial" w:cs="Arial"/>
                <w:color w:val="000000"/>
              </w:rPr>
              <w:t>Umongo</w:t>
            </w:r>
            <w:proofErr w:type="spellEnd"/>
            <w:r w:rsidRPr="007B2099">
              <w:rPr>
                <w:rFonts w:ascii="Arial" w:hAnsi="Arial" w:cs="Arial"/>
                <w:color w:val="000000"/>
              </w:rPr>
              <w:t xml:space="preserve"> Petroleum (Pty) Ltd</w:t>
            </w:r>
          </w:p>
        </w:tc>
        <w:tc>
          <w:tcPr>
            <w:tcW w:w="2682" w:type="dxa"/>
          </w:tcPr>
          <w:p w14:paraId="7BFB9477" w14:textId="77777777" w:rsidR="001E5798" w:rsidRPr="007B2099" w:rsidRDefault="001E5798" w:rsidP="00DE53FD">
            <w:pPr>
              <w:ind w:right="567"/>
              <w:rPr>
                <w:rFonts w:ascii="Arial" w:hAnsi="Arial" w:cs="Arial"/>
              </w:rPr>
            </w:pPr>
            <w:r w:rsidRPr="007B2099">
              <w:rPr>
                <w:rFonts w:ascii="Arial" w:hAnsi="Arial" w:cs="Arial"/>
              </w:rPr>
              <w:t>Approve without conditions</w:t>
            </w:r>
          </w:p>
        </w:tc>
        <w:tc>
          <w:tcPr>
            <w:tcW w:w="2116" w:type="dxa"/>
          </w:tcPr>
          <w:p w14:paraId="7D7BA604" w14:textId="77777777" w:rsidR="001E5798" w:rsidRPr="007B2099" w:rsidRDefault="001A59E9" w:rsidP="00DE53FD">
            <w:pPr>
              <w:ind w:right="567"/>
              <w:rPr>
                <w:rFonts w:ascii="Arial" w:hAnsi="Arial" w:cs="Arial"/>
              </w:rPr>
            </w:pPr>
            <w:r w:rsidRPr="007B2099">
              <w:rPr>
                <w:rFonts w:ascii="Arial" w:hAnsi="Arial" w:cs="Arial"/>
              </w:rPr>
              <w:t xml:space="preserve">Approved without conditions </w:t>
            </w:r>
          </w:p>
        </w:tc>
      </w:tr>
    </w:tbl>
    <w:p w14:paraId="1F30559B" w14:textId="77777777" w:rsidR="00C45759" w:rsidRDefault="00C45759" w:rsidP="006D3576">
      <w:pPr>
        <w:ind w:left="737" w:right="737"/>
        <w:rPr>
          <w:rFonts w:ascii="Arial" w:hAnsi="Arial" w:cs="Arial"/>
          <w:sz w:val="24"/>
          <w:szCs w:val="24"/>
        </w:rPr>
      </w:pPr>
    </w:p>
    <w:p w14:paraId="1C50DE99" w14:textId="77777777" w:rsidR="00033DDB" w:rsidRPr="007B2099" w:rsidRDefault="00033DDB" w:rsidP="006D3576">
      <w:pPr>
        <w:ind w:left="737" w:right="737"/>
        <w:rPr>
          <w:rFonts w:ascii="Arial" w:hAnsi="Arial" w:cs="Arial"/>
          <w:b/>
        </w:rPr>
      </w:pPr>
      <w:r w:rsidRPr="007B2099">
        <w:rPr>
          <w:rFonts w:ascii="Arial" w:hAnsi="Arial" w:cs="Arial"/>
          <w:b/>
        </w:rPr>
        <w:t xml:space="preserve">Dimension Data Protocol BV </w:t>
      </w:r>
      <w:r w:rsidR="001E5798" w:rsidRPr="007B2099">
        <w:rPr>
          <w:rFonts w:ascii="Arial" w:hAnsi="Arial" w:cs="Arial"/>
          <w:b/>
        </w:rPr>
        <w:t>merge</w:t>
      </w:r>
      <w:r w:rsidR="008E420F" w:rsidRPr="007B2099">
        <w:rPr>
          <w:rFonts w:ascii="Arial" w:hAnsi="Arial" w:cs="Arial"/>
          <w:b/>
        </w:rPr>
        <w:t>r</w:t>
      </w:r>
      <w:r w:rsidR="001E5798" w:rsidRPr="007B2099">
        <w:rPr>
          <w:rFonts w:ascii="Arial" w:hAnsi="Arial" w:cs="Arial"/>
          <w:b/>
        </w:rPr>
        <w:t xml:space="preserve"> with </w:t>
      </w:r>
      <w:r w:rsidRPr="007B2099">
        <w:rPr>
          <w:rFonts w:ascii="Arial" w:hAnsi="Arial" w:cs="Arial"/>
          <w:b/>
        </w:rPr>
        <w:t>Hatch Investments (</w:t>
      </w:r>
      <w:proofErr w:type="spellStart"/>
      <w:r w:rsidRPr="007B2099">
        <w:rPr>
          <w:rFonts w:ascii="Arial" w:hAnsi="Arial" w:cs="Arial"/>
          <w:b/>
        </w:rPr>
        <w:t>Maurituis</w:t>
      </w:r>
      <w:proofErr w:type="spellEnd"/>
      <w:r w:rsidRPr="007B2099">
        <w:rPr>
          <w:rFonts w:ascii="Arial" w:hAnsi="Arial" w:cs="Arial"/>
          <w:b/>
        </w:rPr>
        <w:t>) Limited</w:t>
      </w:r>
      <w:r w:rsidR="001E5798" w:rsidRPr="007B2099">
        <w:rPr>
          <w:rFonts w:ascii="Arial" w:hAnsi="Arial" w:cs="Arial"/>
          <w:b/>
        </w:rPr>
        <w:t xml:space="preserve"> </w:t>
      </w:r>
      <w:r w:rsidR="008E420F" w:rsidRPr="007B2099">
        <w:rPr>
          <w:rFonts w:ascii="Arial" w:hAnsi="Arial" w:cs="Arial"/>
          <w:b/>
        </w:rPr>
        <w:t xml:space="preserve">approved </w:t>
      </w:r>
      <w:r w:rsidR="001E5798" w:rsidRPr="007B2099">
        <w:rPr>
          <w:rFonts w:ascii="Arial" w:hAnsi="Arial" w:cs="Arial"/>
          <w:b/>
        </w:rPr>
        <w:t>with conditions</w:t>
      </w:r>
    </w:p>
    <w:p w14:paraId="65784B67" w14:textId="77777777" w:rsidR="00033DDB" w:rsidRPr="007B2099" w:rsidRDefault="001E5798" w:rsidP="006D3576">
      <w:pPr>
        <w:ind w:left="737" w:right="737"/>
        <w:rPr>
          <w:rFonts w:ascii="Arial" w:hAnsi="Arial" w:cs="Arial"/>
        </w:rPr>
      </w:pPr>
      <w:r w:rsidRPr="007B2099">
        <w:rPr>
          <w:rFonts w:ascii="Arial" w:hAnsi="Arial" w:cs="Arial"/>
        </w:rPr>
        <w:t xml:space="preserve">The Tribunal has approved the merger of </w:t>
      </w:r>
      <w:r w:rsidR="00033DDB" w:rsidRPr="007B2099">
        <w:rPr>
          <w:rFonts w:ascii="Arial" w:hAnsi="Arial" w:cs="Arial"/>
        </w:rPr>
        <w:t xml:space="preserve">Dimension Data </w:t>
      </w:r>
      <w:proofErr w:type="spellStart"/>
      <w:r w:rsidR="00033DDB" w:rsidRPr="007B2099">
        <w:rPr>
          <w:rFonts w:ascii="Arial" w:hAnsi="Arial" w:cs="Arial"/>
        </w:rPr>
        <w:t>Protocal</w:t>
      </w:r>
      <w:proofErr w:type="spellEnd"/>
      <w:r w:rsidR="00033DDB" w:rsidRPr="007B2099">
        <w:rPr>
          <w:rFonts w:ascii="Arial" w:hAnsi="Arial" w:cs="Arial"/>
        </w:rPr>
        <w:t xml:space="preserve"> BV (Dimension Data</w:t>
      </w:r>
      <w:r w:rsidRPr="007B2099">
        <w:rPr>
          <w:rFonts w:ascii="Arial" w:hAnsi="Arial" w:cs="Arial"/>
        </w:rPr>
        <w:t>) and</w:t>
      </w:r>
      <w:r w:rsidR="00033DDB" w:rsidRPr="007B2099">
        <w:rPr>
          <w:rFonts w:ascii="Arial" w:hAnsi="Arial" w:cs="Arial"/>
        </w:rPr>
        <w:t xml:space="preserve"> Hatch Investments (Mauritius)</w:t>
      </w:r>
      <w:r w:rsidRPr="007B2099">
        <w:rPr>
          <w:rFonts w:ascii="Arial" w:hAnsi="Arial" w:cs="Arial"/>
        </w:rPr>
        <w:t xml:space="preserve"> subject to certain conditions</w:t>
      </w:r>
      <w:r w:rsidR="00033DDB" w:rsidRPr="007B2099">
        <w:rPr>
          <w:rFonts w:ascii="Arial" w:hAnsi="Arial" w:cs="Arial"/>
        </w:rPr>
        <w:t>.</w:t>
      </w:r>
    </w:p>
    <w:p w14:paraId="52F1949F" w14:textId="77777777" w:rsidR="00033DDB" w:rsidRPr="007B2099" w:rsidRDefault="00033DDB" w:rsidP="006D3576">
      <w:pPr>
        <w:ind w:left="737" w:right="737"/>
        <w:rPr>
          <w:rFonts w:ascii="Arial" w:hAnsi="Arial" w:cs="Arial"/>
        </w:rPr>
      </w:pPr>
      <w:r w:rsidRPr="007B2099">
        <w:rPr>
          <w:rFonts w:ascii="Arial" w:hAnsi="Arial" w:cs="Arial"/>
        </w:rPr>
        <w:t xml:space="preserve">Hatch is presently jointly controlled by Dimension Data and </w:t>
      </w:r>
      <w:proofErr w:type="spellStart"/>
      <w:r w:rsidRPr="007B2099">
        <w:rPr>
          <w:rFonts w:ascii="Arial" w:hAnsi="Arial" w:cs="Arial"/>
        </w:rPr>
        <w:t>Adcorp</w:t>
      </w:r>
      <w:proofErr w:type="spellEnd"/>
      <w:r w:rsidRPr="007B2099">
        <w:rPr>
          <w:rFonts w:ascii="Arial" w:hAnsi="Arial" w:cs="Arial"/>
        </w:rPr>
        <w:t xml:space="preserve"> Holdings Limited. Hatch operates through its subsidiary </w:t>
      </w:r>
      <w:proofErr w:type="spellStart"/>
      <w:r w:rsidRPr="007B2099">
        <w:rPr>
          <w:rFonts w:ascii="Arial" w:hAnsi="Arial" w:cs="Arial"/>
        </w:rPr>
        <w:t>Nihilent</w:t>
      </w:r>
      <w:proofErr w:type="spellEnd"/>
      <w:r w:rsidRPr="007B2099">
        <w:rPr>
          <w:rFonts w:ascii="Arial" w:hAnsi="Arial" w:cs="Arial"/>
        </w:rPr>
        <w:t xml:space="preserve"> Technologies Limited. </w:t>
      </w:r>
      <w:proofErr w:type="spellStart"/>
      <w:r w:rsidR="001E5798" w:rsidRPr="007B2099">
        <w:rPr>
          <w:rFonts w:ascii="Arial" w:hAnsi="Arial" w:cs="Arial"/>
        </w:rPr>
        <w:t>Nihilent</w:t>
      </w:r>
      <w:proofErr w:type="spellEnd"/>
      <w:r w:rsidRPr="007B2099">
        <w:rPr>
          <w:rFonts w:ascii="Arial" w:hAnsi="Arial" w:cs="Arial"/>
        </w:rPr>
        <w:t xml:space="preserve"> provides enterprise transformation consulting services in South Africa.   </w:t>
      </w:r>
    </w:p>
    <w:p w14:paraId="18DF6850" w14:textId="77777777" w:rsidR="00141C0B" w:rsidRPr="007B2099" w:rsidRDefault="00141C0B" w:rsidP="006D3576">
      <w:pPr>
        <w:ind w:left="737" w:right="737"/>
        <w:rPr>
          <w:rFonts w:ascii="Arial" w:hAnsi="Arial" w:cs="Arial"/>
        </w:rPr>
      </w:pPr>
      <w:r w:rsidRPr="007B2099">
        <w:rPr>
          <w:rFonts w:ascii="Arial" w:hAnsi="Arial" w:cs="Arial"/>
        </w:rPr>
        <w:t xml:space="preserve">Dimension Data is an Information Technology service provider which offers a wide range of IT and communication services including professional, consulting, support, managed, procurement and supply chain services. </w:t>
      </w:r>
    </w:p>
    <w:p w14:paraId="4DB182A7" w14:textId="77777777" w:rsidR="001E5798" w:rsidRPr="007B2099" w:rsidRDefault="001E5798" w:rsidP="006D3576">
      <w:pPr>
        <w:ind w:left="737" w:right="737"/>
        <w:rPr>
          <w:rFonts w:ascii="Arial" w:hAnsi="Arial" w:cs="Arial"/>
        </w:rPr>
      </w:pPr>
      <w:r w:rsidRPr="007B2099">
        <w:rPr>
          <w:rFonts w:ascii="Arial" w:hAnsi="Arial" w:cs="Arial"/>
        </w:rPr>
        <w:t>As a result of public interest concerns raised by the Commission and the Minister of Econo</w:t>
      </w:r>
      <w:r w:rsidR="004F1B58" w:rsidRPr="007B2099">
        <w:rPr>
          <w:rFonts w:ascii="Arial" w:hAnsi="Arial" w:cs="Arial"/>
        </w:rPr>
        <w:t xml:space="preserve">mic Development, there will be a moratorium </w:t>
      </w:r>
      <w:r w:rsidR="008E420F" w:rsidRPr="007B2099">
        <w:rPr>
          <w:rFonts w:ascii="Arial" w:hAnsi="Arial" w:cs="Arial"/>
        </w:rPr>
        <w:t xml:space="preserve">on retrenchments for a specified </w:t>
      </w:r>
      <w:r w:rsidR="004F1B58" w:rsidRPr="007B2099">
        <w:rPr>
          <w:rFonts w:ascii="Arial" w:hAnsi="Arial" w:cs="Arial"/>
        </w:rPr>
        <w:t>period</w:t>
      </w:r>
      <w:r w:rsidR="008E420F" w:rsidRPr="007B2099">
        <w:rPr>
          <w:rFonts w:ascii="Arial" w:hAnsi="Arial" w:cs="Arial"/>
        </w:rPr>
        <w:t>.</w:t>
      </w:r>
      <w:r w:rsidR="004F1B58" w:rsidRPr="007B2099">
        <w:rPr>
          <w:rFonts w:ascii="Arial" w:hAnsi="Arial" w:cs="Arial"/>
        </w:rPr>
        <w:t xml:space="preserve"> </w:t>
      </w:r>
      <w:proofErr w:type="spellStart"/>
      <w:r w:rsidRPr="007B2099">
        <w:rPr>
          <w:rFonts w:ascii="Arial" w:hAnsi="Arial" w:cs="Arial"/>
        </w:rPr>
        <w:t>Nihilent</w:t>
      </w:r>
      <w:proofErr w:type="spellEnd"/>
      <w:r w:rsidRPr="007B2099">
        <w:rPr>
          <w:rFonts w:ascii="Arial" w:hAnsi="Arial" w:cs="Arial"/>
        </w:rPr>
        <w:t xml:space="preserve"> will continue its programme to develop skills in the local IT sector. </w:t>
      </w:r>
    </w:p>
    <w:p w14:paraId="2DEE2659" w14:textId="77777777" w:rsidR="00C45759" w:rsidRPr="007B2099" w:rsidRDefault="001E5798" w:rsidP="006D3576">
      <w:pPr>
        <w:spacing w:after="0"/>
        <w:ind w:left="737" w:right="737"/>
        <w:jc w:val="both"/>
        <w:rPr>
          <w:rFonts w:ascii="Arial" w:hAnsi="Arial" w:cs="Arial"/>
          <w:b/>
        </w:rPr>
      </w:pPr>
      <w:r w:rsidRPr="007B2099">
        <w:rPr>
          <w:rFonts w:ascii="Arial" w:hAnsi="Arial" w:cs="Arial"/>
          <w:b/>
        </w:rPr>
        <w:t xml:space="preserve">Decision pending in </w:t>
      </w:r>
      <w:r w:rsidR="00C45759" w:rsidRPr="007B2099">
        <w:rPr>
          <w:rFonts w:ascii="Arial" w:hAnsi="Arial" w:cs="Arial"/>
          <w:b/>
        </w:rPr>
        <w:t xml:space="preserve">PIC merger application for control of </w:t>
      </w:r>
      <w:proofErr w:type="spellStart"/>
      <w:r w:rsidR="00C45759" w:rsidRPr="007B2099">
        <w:rPr>
          <w:rFonts w:ascii="Arial" w:hAnsi="Arial" w:cs="Arial"/>
          <w:b/>
        </w:rPr>
        <w:t>Afgri</w:t>
      </w:r>
      <w:proofErr w:type="spellEnd"/>
      <w:r w:rsidR="00C45759" w:rsidRPr="007B2099">
        <w:rPr>
          <w:rFonts w:ascii="Arial" w:hAnsi="Arial" w:cs="Arial"/>
          <w:b/>
        </w:rPr>
        <w:t xml:space="preserve"> Poultry t/a </w:t>
      </w:r>
      <w:proofErr w:type="spellStart"/>
      <w:r w:rsidR="00C45759" w:rsidRPr="007B2099">
        <w:rPr>
          <w:rFonts w:ascii="Arial" w:hAnsi="Arial" w:cs="Arial"/>
          <w:b/>
        </w:rPr>
        <w:t>DayBreak</w:t>
      </w:r>
      <w:proofErr w:type="spellEnd"/>
      <w:r w:rsidR="00C45759" w:rsidRPr="007B2099">
        <w:rPr>
          <w:rFonts w:ascii="Arial" w:hAnsi="Arial" w:cs="Arial"/>
          <w:b/>
        </w:rPr>
        <w:t xml:space="preserve"> Farms</w:t>
      </w:r>
    </w:p>
    <w:p w14:paraId="2441EA78" w14:textId="77777777" w:rsidR="00C45759" w:rsidRPr="007B2099" w:rsidRDefault="00C45759" w:rsidP="006D3576">
      <w:pPr>
        <w:spacing w:after="0"/>
        <w:ind w:left="737" w:right="737"/>
        <w:jc w:val="both"/>
        <w:rPr>
          <w:rFonts w:ascii="Arial" w:hAnsi="Arial" w:cs="Arial"/>
          <w:b/>
        </w:rPr>
      </w:pPr>
    </w:p>
    <w:p w14:paraId="0FCCB1AC" w14:textId="77777777" w:rsidR="00C45759" w:rsidRPr="007B2099" w:rsidRDefault="00B31B45" w:rsidP="006D3576">
      <w:pPr>
        <w:spacing w:after="0"/>
        <w:ind w:left="737" w:right="737"/>
        <w:jc w:val="both"/>
        <w:rPr>
          <w:rFonts w:ascii="Arial" w:hAnsi="Arial" w:cs="Arial"/>
        </w:rPr>
      </w:pPr>
      <w:r w:rsidRPr="007B2099">
        <w:rPr>
          <w:rFonts w:ascii="Arial" w:hAnsi="Arial" w:cs="Arial"/>
        </w:rPr>
        <w:t xml:space="preserve">The Tribunal is awaiting further documentation with regards to the proposed merger in terms of which </w:t>
      </w:r>
      <w:r w:rsidR="00C45759" w:rsidRPr="007B2099">
        <w:rPr>
          <w:rFonts w:ascii="Arial" w:hAnsi="Arial" w:cs="Arial"/>
        </w:rPr>
        <w:t>PIC</w:t>
      </w:r>
      <w:r w:rsidR="00E273D8" w:rsidRPr="007B2099">
        <w:rPr>
          <w:rFonts w:ascii="Arial" w:hAnsi="Arial" w:cs="Arial"/>
        </w:rPr>
        <w:t>,</w:t>
      </w:r>
      <w:r w:rsidR="00C45759" w:rsidRPr="007B2099">
        <w:rPr>
          <w:rFonts w:ascii="Arial" w:hAnsi="Arial" w:cs="Arial"/>
        </w:rPr>
        <w:t xml:space="preserve"> in its capacity as the representative of the Government Employment Pension Fund, Unemployment Fund (UIF) and Compensation Fund (CF), referred to below as the Acquiring group, will acquire control of </w:t>
      </w:r>
      <w:proofErr w:type="spellStart"/>
      <w:r w:rsidR="00C45759" w:rsidRPr="007B2099">
        <w:rPr>
          <w:rFonts w:ascii="Arial" w:hAnsi="Arial" w:cs="Arial"/>
        </w:rPr>
        <w:t>Afgri</w:t>
      </w:r>
      <w:proofErr w:type="spellEnd"/>
      <w:r w:rsidR="00C45759" w:rsidRPr="007B2099">
        <w:rPr>
          <w:rFonts w:ascii="Arial" w:hAnsi="Arial" w:cs="Arial"/>
        </w:rPr>
        <w:t xml:space="preserve"> Poultry (</w:t>
      </w:r>
      <w:proofErr w:type="spellStart"/>
      <w:r w:rsidR="00C45759" w:rsidRPr="007B2099">
        <w:rPr>
          <w:rFonts w:ascii="Arial" w:hAnsi="Arial" w:cs="Arial"/>
        </w:rPr>
        <w:t>Afgri</w:t>
      </w:r>
      <w:proofErr w:type="spellEnd"/>
      <w:r w:rsidR="00C45759" w:rsidRPr="007B2099">
        <w:rPr>
          <w:rFonts w:ascii="Arial" w:hAnsi="Arial" w:cs="Arial"/>
        </w:rPr>
        <w:t xml:space="preserve"> Poultry), trading as Daybreak Farms (Daybreak), referred to below as the Target firm</w:t>
      </w:r>
      <w:r w:rsidRPr="007B2099">
        <w:rPr>
          <w:rFonts w:ascii="Arial" w:hAnsi="Arial" w:cs="Arial"/>
        </w:rPr>
        <w:t>.</w:t>
      </w:r>
    </w:p>
    <w:p w14:paraId="3AC8D02D" w14:textId="77777777" w:rsidR="00B31B45" w:rsidRPr="007B2099" w:rsidRDefault="00B31B45" w:rsidP="006D3576">
      <w:pPr>
        <w:spacing w:after="0"/>
        <w:ind w:left="737" w:right="737"/>
        <w:jc w:val="both"/>
        <w:rPr>
          <w:rFonts w:ascii="Arial" w:hAnsi="Arial" w:cs="Arial"/>
        </w:rPr>
      </w:pPr>
    </w:p>
    <w:p w14:paraId="44E72D22" w14:textId="77777777" w:rsidR="00C45759" w:rsidRPr="007B2099" w:rsidRDefault="00C45759" w:rsidP="006D3576">
      <w:pPr>
        <w:spacing w:after="0"/>
        <w:ind w:left="737" w:right="737"/>
        <w:jc w:val="both"/>
        <w:rPr>
          <w:rFonts w:ascii="Arial" w:hAnsi="Arial" w:cs="Arial"/>
        </w:rPr>
      </w:pPr>
      <w:r w:rsidRPr="007B2099">
        <w:rPr>
          <w:rFonts w:ascii="Arial" w:hAnsi="Arial" w:cs="Arial"/>
        </w:rPr>
        <w:t xml:space="preserve">The various members of the Acquiring group engage in the investment of certain assets, management and administration of pensions and other benefits and compensation of employees emanating from injury or disease through the course of employment, respectively. </w:t>
      </w:r>
    </w:p>
    <w:p w14:paraId="73BB4292" w14:textId="77777777" w:rsidR="00C45759" w:rsidRPr="007B2099" w:rsidRDefault="00C45759" w:rsidP="006D3576">
      <w:pPr>
        <w:spacing w:after="0"/>
        <w:ind w:left="737" w:right="737"/>
        <w:jc w:val="both"/>
        <w:rPr>
          <w:rFonts w:ascii="Arial" w:hAnsi="Arial" w:cs="Arial"/>
        </w:rPr>
      </w:pPr>
    </w:p>
    <w:p w14:paraId="71F5D758" w14:textId="77777777" w:rsidR="00C45759" w:rsidRPr="007B2099" w:rsidRDefault="00C45759" w:rsidP="006D3576">
      <w:pPr>
        <w:ind w:left="737" w:right="737"/>
        <w:jc w:val="both"/>
        <w:rPr>
          <w:rFonts w:ascii="Arial" w:hAnsi="Arial" w:cs="Arial"/>
        </w:rPr>
      </w:pPr>
      <w:r w:rsidRPr="007B2099">
        <w:rPr>
          <w:rFonts w:ascii="Arial" w:hAnsi="Arial" w:cs="Arial"/>
        </w:rPr>
        <w:t>Daybreak produces and supplies fresh and frozen poultry products to the South African market. It has an integrated operation with its own feed mill that manufactures and supplies broiler feed.</w:t>
      </w:r>
    </w:p>
    <w:p w14:paraId="7F5331FE" w14:textId="77777777" w:rsidR="00C45759" w:rsidRPr="007B2099" w:rsidRDefault="00B31B45" w:rsidP="006D3576">
      <w:pPr>
        <w:ind w:left="737" w:right="737"/>
        <w:jc w:val="both"/>
        <w:rPr>
          <w:rFonts w:ascii="Arial" w:hAnsi="Arial" w:cs="Arial"/>
        </w:rPr>
      </w:pPr>
      <w:r w:rsidRPr="007B2099">
        <w:rPr>
          <w:rFonts w:ascii="Arial" w:hAnsi="Arial" w:cs="Arial"/>
        </w:rPr>
        <w:t>The Commission had</w:t>
      </w:r>
      <w:r w:rsidR="00C45759" w:rsidRPr="007B2099">
        <w:rPr>
          <w:rFonts w:ascii="Arial" w:hAnsi="Arial" w:cs="Arial"/>
        </w:rPr>
        <w:t xml:space="preserve"> recommended conditional approval in relation to cross-shareholding and other public interest concerns emanating from the proposed transaction. </w:t>
      </w:r>
    </w:p>
    <w:p w14:paraId="35B1D430" w14:textId="77777777" w:rsidR="00C45759" w:rsidRPr="007B2099" w:rsidRDefault="00C45759" w:rsidP="006D3576">
      <w:pPr>
        <w:spacing w:after="0"/>
        <w:ind w:left="737" w:right="737"/>
        <w:jc w:val="both"/>
        <w:rPr>
          <w:rFonts w:ascii="Arial" w:hAnsi="Arial" w:cs="Arial"/>
        </w:rPr>
      </w:pPr>
    </w:p>
    <w:p w14:paraId="0225F31C" w14:textId="77777777" w:rsidR="008E5895" w:rsidRPr="007B2099" w:rsidRDefault="008E420F" w:rsidP="006D3576">
      <w:pPr>
        <w:ind w:left="737" w:right="737"/>
        <w:rPr>
          <w:rFonts w:ascii="Arial" w:hAnsi="Arial" w:cs="Arial"/>
          <w:b/>
        </w:rPr>
      </w:pPr>
      <w:r w:rsidRPr="007B2099">
        <w:rPr>
          <w:rFonts w:ascii="Arial" w:hAnsi="Arial" w:cs="Arial"/>
          <w:b/>
        </w:rPr>
        <w:t xml:space="preserve">Merger </w:t>
      </w:r>
      <w:r w:rsidR="008E5895" w:rsidRPr="007B2099">
        <w:rPr>
          <w:rFonts w:ascii="Arial" w:hAnsi="Arial" w:cs="Arial"/>
          <w:b/>
        </w:rPr>
        <w:t>between two international shipping companies</w:t>
      </w:r>
      <w:r w:rsidRPr="007B2099">
        <w:rPr>
          <w:rFonts w:ascii="Arial" w:hAnsi="Arial" w:cs="Arial"/>
          <w:b/>
        </w:rPr>
        <w:t xml:space="preserve"> approved with conditions </w:t>
      </w:r>
    </w:p>
    <w:p w14:paraId="04EC1918" w14:textId="77777777" w:rsidR="008E5895" w:rsidRPr="007B2099" w:rsidRDefault="008E420F" w:rsidP="006D3576">
      <w:pPr>
        <w:ind w:left="737" w:right="737"/>
        <w:jc w:val="both"/>
        <w:rPr>
          <w:rFonts w:ascii="Arial" w:hAnsi="Arial" w:cs="Arial"/>
          <w:lang w:val="en-US"/>
        </w:rPr>
      </w:pPr>
      <w:r w:rsidRPr="007B2099">
        <w:rPr>
          <w:rFonts w:ascii="Arial" w:hAnsi="Arial" w:cs="Arial"/>
          <w:lang w:val="en-US"/>
        </w:rPr>
        <w:t xml:space="preserve">The Tribunal has conditionally approved the merger </w:t>
      </w:r>
      <w:r w:rsidR="008E5895" w:rsidRPr="007B2099">
        <w:rPr>
          <w:rFonts w:ascii="Arial" w:hAnsi="Arial" w:cs="Arial"/>
          <w:lang w:val="en-US"/>
        </w:rPr>
        <w:t xml:space="preserve">whereby Maersk Line A/S (“Maersk Line”) will acquire Hamburg </w:t>
      </w:r>
      <w:proofErr w:type="spellStart"/>
      <w:r w:rsidR="008E5895" w:rsidRPr="007B2099">
        <w:rPr>
          <w:rFonts w:ascii="Arial" w:hAnsi="Arial" w:cs="Arial"/>
          <w:lang w:val="en-US"/>
        </w:rPr>
        <w:t>Sudamerkianische</w:t>
      </w:r>
      <w:proofErr w:type="spellEnd"/>
      <w:r w:rsidR="008E5895" w:rsidRPr="007B2099">
        <w:rPr>
          <w:rFonts w:ascii="Arial" w:hAnsi="Arial" w:cs="Arial"/>
          <w:lang w:val="en-US"/>
        </w:rPr>
        <w:t xml:space="preserve"> </w:t>
      </w:r>
      <w:proofErr w:type="spellStart"/>
      <w:r w:rsidR="008E5895" w:rsidRPr="007B2099">
        <w:rPr>
          <w:rFonts w:ascii="Arial" w:hAnsi="Arial" w:cs="Arial"/>
          <w:lang w:val="en-US"/>
        </w:rPr>
        <w:t>Dampfschiffahrts</w:t>
      </w:r>
      <w:proofErr w:type="spellEnd"/>
      <w:r w:rsidR="008E5895" w:rsidRPr="007B2099">
        <w:rPr>
          <w:rFonts w:ascii="Arial" w:hAnsi="Arial" w:cs="Arial"/>
          <w:lang w:val="en-US"/>
        </w:rPr>
        <w:t xml:space="preserve">-Gesellschaft KG (“HSDG”). The transaction will have an impact on the market for the provision of deep-sea container liner shipping services. </w:t>
      </w:r>
    </w:p>
    <w:p w14:paraId="708B6FBB" w14:textId="77777777" w:rsidR="00DE53FD" w:rsidRPr="007B2099" w:rsidRDefault="008E5895" w:rsidP="006D3576">
      <w:pPr>
        <w:ind w:left="737" w:right="737"/>
        <w:jc w:val="both"/>
        <w:rPr>
          <w:rFonts w:ascii="Arial" w:eastAsia="Calibri" w:hAnsi="Arial" w:cs="Arial"/>
        </w:rPr>
      </w:pPr>
      <w:r w:rsidRPr="007B2099">
        <w:rPr>
          <w:rFonts w:ascii="Arial" w:eastAsia="Calibri" w:hAnsi="Arial" w:cs="Arial"/>
        </w:rPr>
        <w:t xml:space="preserve">The Maersk Group is an integrated transport and logistics company headquartered in Copenhagen, Denmark. It is involved in the deep-sea container shipping market and is the world’s largest container shipping company. The Maersk Line serves customers in over 200 countries. The Maersk Group also provides tramp services (Note: see below for reference) for the transportation of refined oil products. </w:t>
      </w:r>
    </w:p>
    <w:p w14:paraId="304A4ABE" w14:textId="77777777" w:rsidR="008E5895" w:rsidRPr="007B2099" w:rsidRDefault="008E5895" w:rsidP="006D3576">
      <w:pPr>
        <w:ind w:left="737" w:right="737"/>
        <w:jc w:val="both"/>
        <w:rPr>
          <w:rFonts w:ascii="Arial" w:eastAsia="Calibri" w:hAnsi="Arial" w:cs="Arial"/>
        </w:rPr>
      </w:pPr>
      <w:r w:rsidRPr="007B2099">
        <w:rPr>
          <w:rFonts w:ascii="Arial" w:eastAsia="Calibri" w:hAnsi="Arial" w:cs="Arial"/>
        </w:rPr>
        <w:t xml:space="preserve">Although Maersk Line does not provide tramp services to South Africa, it has provided tramp services to South African customers. The Maersk Group is however active in the provision of container liner shipping and freight forwarding services across various South African trade routes. </w:t>
      </w:r>
    </w:p>
    <w:p w14:paraId="2D222248" w14:textId="77777777" w:rsidR="008E5895" w:rsidRPr="007B2099" w:rsidRDefault="008E5895" w:rsidP="006D3576">
      <w:pPr>
        <w:ind w:left="737" w:right="737"/>
        <w:jc w:val="both"/>
        <w:rPr>
          <w:rFonts w:ascii="Arial" w:eastAsia="Calibri" w:hAnsi="Arial" w:cs="Arial"/>
        </w:rPr>
      </w:pPr>
      <w:proofErr w:type="spellStart"/>
      <w:r w:rsidRPr="007B2099">
        <w:rPr>
          <w:rFonts w:ascii="Arial" w:eastAsia="Calibri" w:hAnsi="Arial" w:cs="Arial"/>
        </w:rPr>
        <w:t>Dr.</w:t>
      </w:r>
      <w:proofErr w:type="spellEnd"/>
      <w:r w:rsidRPr="007B2099">
        <w:rPr>
          <w:rFonts w:ascii="Arial" w:eastAsia="Calibri" w:hAnsi="Arial" w:cs="Arial"/>
        </w:rPr>
        <w:t xml:space="preserve"> </w:t>
      </w:r>
      <w:proofErr w:type="spellStart"/>
      <w:r w:rsidRPr="007B2099">
        <w:rPr>
          <w:rFonts w:ascii="Arial" w:eastAsia="Calibri" w:hAnsi="Arial" w:cs="Arial"/>
        </w:rPr>
        <w:t>Oetker</w:t>
      </w:r>
      <w:proofErr w:type="spellEnd"/>
      <w:r w:rsidRPr="007B2099">
        <w:rPr>
          <w:rFonts w:ascii="Arial" w:eastAsia="Calibri" w:hAnsi="Arial" w:cs="Arial"/>
        </w:rPr>
        <w:t xml:space="preserve"> is a multinational family owned firm headquartered in Bielefeld, Germany, whilst HSDG also headquartered in Germany is the seventh largest container shipping line in the world. The </w:t>
      </w:r>
      <w:proofErr w:type="spellStart"/>
      <w:r w:rsidRPr="007B2099">
        <w:rPr>
          <w:rFonts w:ascii="Arial" w:eastAsia="Calibri" w:hAnsi="Arial" w:cs="Arial"/>
        </w:rPr>
        <w:t>Oetker</w:t>
      </w:r>
      <w:proofErr w:type="spellEnd"/>
      <w:r w:rsidRPr="007B2099">
        <w:rPr>
          <w:rFonts w:ascii="Arial" w:eastAsia="Calibri" w:hAnsi="Arial" w:cs="Arial"/>
        </w:rPr>
        <w:t xml:space="preserve"> Group is involved in various sectors such as food and beverage production, banking and shipping. </w:t>
      </w:r>
    </w:p>
    <w:p w14:paraId="1189F408" w14:textId="77777777" w:rsidR="008E5895" w:rsidRPr="007B2099" w:rsidRDefault="008E5895" w:rsidP="006D3576">
      <w:pPr>
        <w:ind w:left="737" w:right="737"/>
        <w:jc w:val="both"/>
        <w:rPr>
          <w:rFonts w:ascii="Arial" w:eastAsia="Calibri" w:hAnsi="Arial" w:cs="Arial"/>
        </w:rPr>
      </w:pPr>
      <w:r w:rsidRPr="007B2099">
        <w:rPr>
          <w:rFonts w:ascii="Arial" w:eastAsia="Calibri" w:hAnsi="Arial" w:cs="Arial"/>
        </w:rPr>
        <w:t xml:space="preserve">HSDG is also active in the provision of tramp services. HSDG has no subsidiaries in South Africa and is only represented through branch and third agency offices. The only subsidiary of the </w:t>
      </w:r>
      <w:proofErr w:type="spellStart"/>
      <w:r w:rsidRPr="007B2099">
        <w:rPr>
          <w:rFonts w:ascii="Arial" w:eastAsia="Calibri" w:hAnsi="Arial" w:cs="Arial"/>
        </w:rPr>
        <w:t>Dr.</w:t>
      </w:r>
      <w:proofErr w:type="spellEnd"/>
      <w:r w:rsidRPr="007B2099">
        <w:rPr>
          <w:rFonts w:ascii="Arial" w:eastAsia="Calibri" w:hAnsi="Arial" w:cs="Arial"/>
        </w:rPr>
        <w:t xml:space="preserve"> </w:t>
      </w:r>
      <w:proofErr w:type="spellStart"/>
      <w:r w:rsidRPr="007B2099">
        <w:rPr>
          <w:rFonts w:ascii="Arial" w:eastAsia="Calibri" w:hAnsi="Arial" w:cs="Arial"/>
        </w:rPr>
        <w:t>Oetker</w:t>
      </w:r>
      <w:proofErr w:type="spellEnd"/>
      <w:r w:rsidRPr="007B2099">
        <w:rPr>
          <w:rFonts w:ascii="Arial" w:eastAsia="Calibri" w:hAnsi="Arial" w:cs="Arial"/>
        </w:rPr>
        <w:t xml:space="preserve"> Group in South Africa is through the production and distribution of pizza and other frozen convenience foods.</w:t>
      </w:r>
    </w:p>
    <w:p w14:paraId="7463A282" w14:textId="77777777" w:rsidR="008E5895" w:rsidRPr="007B2099" w:rsidRDefault="008E420F" w:rsidP="006D3576">
      <w:pPr>
        <w:ind w:left="737" w:right="737"/>
        <w:jc w:val="both"/>
        <w:rPr>
          <w:rFonts w:ascii="Arial" w:eastAsia="Calibri" w:hAnsi="Arial" w:cs="Arial"/>
        </w:rPr>
      </w:pPr>
      <w:r w:rsidRPr="007B2099">
        <w:rPr>
          <w:rFonts w:ascii="Arial" w:eastAsia="Calibri" w:hAnsi="Arial" w:cs="Arial"/>
        </w:rPr>
        <w:t xml:space="preserve">The transaction </w:t>
      </w:r>
      <w:proofErr w:type="gramStart"/>
      <w:r w:rsidRPr="007B2099">
        <w:rPr>
          <w:rFonts w:ascii="Arial" w:eastAsia="Calibri" w:hAnsi="Arial" w:cs="Arial"/>
        </w:rPr>
        <w:t>are</w:t>
      </w:r>
      <w:proofErr w:type="gramEnd"/>
      <w:r w:rsidRPr="007B2099">
        <w:rPr>
          <w:rFonts w:ascii="Arial" w:eastAsia="Calibri" w:hAnsi="Arial" w:cs="Arial"/>
        </w:rPr>
        <w:t xml:space="preserve"> subjec</w:t>
      </w:r>
      <w:r w:rsidR="007B2099">
        <w:rPr>
          <w:rFonts w:ascii="Arial" w:eastAsia="Calibri" w:hAnsi="Arial" w:cs="Arial"/>
        </w:rPr>
        <w:t>t to  a condition</w:t>
      </w:r>
      <w:r w:rsidRPr="007B2099">
        <w:rPr>
          <w:rFonts w:ascii="Arial" w:eastAsia="Calibri" w:hAnsi="Arial" w:cs="Arial"/>
        </w:rPr>
        <w:t xml:space="preserve"> </w:t>
      </w:r>
      <w:r w:rsidR="00D93CA7" w:rsidRPr="007B2099">
        <w:rPr>
          <w:rFonts w:ascii="Arial" w:eastAsia="Calibri" w:hAnsi="Arial" w:cs="Arial"/>
        </w:rPr>
        <w:t>whereby the merging parties must terminate any cooperation agreemen</w:t>
      </w:r>
      <w:r w:rsidR="00F0133F" w:rsidRPr="007B2099">
        <w:rPr>
          <w:rFonts w:ascii="Arial" w:eastAsia="Calibri" w:hAnsi="Arial" w:cs="Arial"/>
        </w:rPr>
        <w:t>ts HSDG has in the South Africa</w:t>
      </w:r>
      <w:r w:rsidR="00D93CA7" w:rsidRPr="007B2099">
        <w:rPr>
          <w:rFonts w:ascii="Arial" w:eastAsia="Calibri" w:hAnsi="Arial" w:cs="Arial"/>
        </w:rPr>
        <w:t>/East Coast</w:t>
      </w:r>
      <w:r w:rsidR="00F0133F" w:rsidRPr="007B2099">
        <w:rPr>
          <w:rFonts w:ascii="Arial" w:eastAsia="Calibri" w:hAnsi="Arial" w:cs="Arial"/>
        </w:rPr>
        <w:t xml:space="preserve"> </w:t>
      </w:r>
      <w:r w:rsidR="00D93CA7" w:rsidRPr="007B2099">
        <w:rPr>
          <w:rFonts w:ascii="Arial" w:eastAsia="Calibri" w:hAnsi="Arial" w:cs="Arial"/>
        </w:rPr>
        <w:t>South Ameri</w:t>
      </w:r>
      <w:r w:rsidR="00F0133F" w:rsidRPr="007B2099">
        <w:rPr>
          <w:rFonts w:ascii="Arial" w:eastAsia="Calibri" w:hAnsi="Arial" w:cs="Arial"/>
        </w:rPr>
        <w:t>ca</w:t>
      </w:r>
      <w:r w:rsidRPr="007B2099">
        <w:rPr>
          <w:rFonts w:ascii="Arial" w:eastAsia="Calibri" w:hAnsi="Arial" w:cs="Arial"/>
        </w:rPr>
        <w:t xml:space="preserve"> trade route</w:t>
      </w:r>
      <w:r w:rsidR="00F0133F" w:rsidRPr="007B2099">
        <w:rPr>
          <w:rFonts w:ascii="Arial" w:eastAsia="Calibri" w:hAnsi="Arial" w:cs="Arial"/>
        </w:rPr>
        <w:t>.</w:t>
      </w:r>
      <w:r w:rsidRPr="007B2099">
        <w:rPr>
          <w:rFonts w:ascii="Arial" w:eastAsia="Calibri" w:hAnsi="Arial" w:cs="Arial"/>
        </w:rPr>
        <w:t xml:space="preserve"> T</w:t>
      </w:r>
      <w:r w:rsidR="00F0133F" w:rsidRPr="007B2099">
        <w:rPr>
          <w:rFonts w:ascii="Arial" w:eastAsia="Calibri" w:hAnsi="Arial" w:cs="Arial"/>
        </w:rPr>
        <w:t xml:space="preserve">he parties have not opposed the </w:t>
      </w:r>
      <w:r w:rsidRPr="007B2099">
        <w:rPr>
          <w:rFonts w:ascii="Arial" w:eastAsia="Calibri" w:hAnsi="Arial" w:cs="Arial"/>
        </w:rPr>
        <w:t xml:space="preserve">condition. </w:t>
      </w:r>
      <w:r w:rsidR="00D93CA7" w:rsidRPr="007B2099">
        <w:rPr>
          <w:rFonts w:ascii="Arial" w:eastAsia="Calibri" w:hAnsi="Arial" w:cs="Arial"/>
        </w:rPr>
        <w:t xml:space="preserve"> </w:t>
      </w:r>
    </w:p>
    <w:p w14:paraId="2D5E39A2" w14:textId="77777777" w:rsidR="008E5895" w:rsidRPr="007B2099" w:rsidRDefault="008E5895" w:rsidP="006D3576">
      <w:pPr>
        <w:pStyle w:val="ListParagraph"/>
        <w:numPr>
          <w:ilvl w:val="0"/>
          <w:numId w:val="2"/>
        </w:numPr>
        <w:ind w:left="737" w:right="737"/>
        <w:jc w:val="both"/>
        <w:rPr>
          <w:rFonts w:ascii="Arial" w:eastAsia="Calibri" w:hAnsi="Arial" w:cs="Arial"/>
        </w:rPr>
      </w:pPr>
      <w:r w:rsidRPr="007B2099">
        <w:rPr>
          <w:rFonts w:ascii="Arial" w:hAnsi="Arial" w:cs="Arial"/>
          <w:b/>
          <w:color w:val="333333"/>
          <w:shd w:val="clear" w:color="auto" w:fill="FFFFFF"/>
        </w:rPr>
        <w:t>Tramp services</w:t>
      </w:r>
      <w:r w:rsidRPr="007B2099">
        <w:rPr>
          <w:rFonts w:ascii="Arial" w:hAnsi="Arial" w:cs="Arial"/>
          <w:color w:val="333333"/>
          <w:shd w:val="clear" w:color="auto" w:fill="FFFFFF"/>
        </w:rPr>
        <w:t xml:space="preserve"> do not have a fixed route. The ships </w:t>
      </w:r>
      <w:proofErr w:type="gramStart"/>
      <w:r w:rsidRPr="007B2099">
        <w:rPr>
          <w:rFonts w:ascii="Arial" w:hAnsi="Arial" w:cs="Arial"/>
          <w:color w:val="333333"/>
          <w:shd w:val="clear" w:color="auto" w:fill="FFFFFF"/>
        </w:rPr>
        <w:t>goes</w:t>
      </w:r>
      <w:proofErr w:type="gramEnd"/>
      <w:r w:rsidRPr="007B2099">
        <w:rPr>
          <w:rFonts w:ascii="Arial" w:hAnsi="Arial" w:cs="Arial"/>
          <w:color w:val="333333"/>
          <w:shd w:val="clear" w:color="auto" w:fill="FFFFFF"/>
        </w:rPr>
        <w:t xml:space="preserve"> from one port to another depending up on the cargo availability. </w:t>
      </w:r>
    </w:p>
    <w:p w14:paraId="12D5BE9E" w14:textId="77777777" w:rsidR="0000669E" w:rsidRPr="007B2099" w:rsidRDefault="001A59E9" w:rsidP="006D3576">
      <w:pPr>
        <w:ind w:left="737" w:right="737"/>
        <w:jc w:val="both"/>
        <w:rPr>
          <w:rFonts w:ascii="Arial" w:hAnsi="Arial" w:cs="Arial"/>
          <w:b/>
        </w:rPr>
      </w:pPr>
      <w:r w:rsidRPr="007B2099">
        <w:rPr>
          <w:rFonts w:ascii="Arial" w:hAnsi="Arial" w:cs="Arial"/>
          <w:b/>
        </w:rPr>
        <w:t>M</w:t>
      </w:r>
      <w:r w:rsidR="0000669E" w:rsidRPr="007B2099">
        <w:rPr>
          <w:rFonts w:ascii="Arial" w:hAnsi="Arial" w:cs="Arial"/>
          <w:b/>
        </w:rPr>
        <w:t xml:space="preserve">erger of security companies </w:t>
      </w:r>
      <w:r w:rsidRPr="007B2099">
        <w:rPr>
          <w:rFonts w:ascii="Arial" w:hAnsi="Arial" w:cs="Arial"/>
          <w:b/>
        </w:rPr>
        <w:t xml:space="preserve">approved subject to conditions </w:t>
      </w:r>
    </w:p>
    <w:p w14:paraId="2CFE60CE" w14:textId="77777777" w:rsidR="0030205A" w:rsidRPr="007B2099" w:rsidRDefault="002E0D54" w:rsidP="006D3576">
      <w:pPr>
        <w:ind w:left="737" w:right="737"/>
        <w:jc w:val="both"/>
        <w:rPr>
          <w:rFonts w:ascii="Arial" w:hAnsi="Arial" w:cs="Arial"/>
        </w:rPr>
      </w:pPr>
      <w:r w:rsidRPr="007B2099">
        <w:rPr>
          <w:rFonts w:ascii="Arial" w:hAnsi="Arial" w:cs="Arial"/>
        </w:rPr>
        <w:t>The</w:t>
      </w:r>
      <w:r w:rsidR="001A59E9" w:rsidRPr="007B2099">
        <w:rPr>
          <w:rFonts w:ascii="Arial" w:hAnsi="Arial" w:cs="Arial"/>
        </w:rPr>
        <w:t xml:space="preserve"> Tribunal has</w:t>
      </w:r>
      <w:r w:rsidR="0030205A" w:rsidRPr="007B2099">
        <w:rPr>
          <w:rFonts w:ascii="Arial" w:hAnsi="Arial" w:cs="Arial"/>
        </w:rPr>
        <w:t xml:space="preserve"> conditionally</w:t>
      </w:r>
      <w:r w:rsidR="001A59E9" w:rsidRPr="007B2099">
        <w:rPr>
          <w:rFonts w:ascii="Arial" w:hAnsi="Arial" w:cs="Arial"/>
        </w:rPr>
        <w:t xml:space="preserve"> approved the merger between </w:t>
      </w:r>
      <w:r w:rsidRPr="007B2099">
        <w:rPr>
          <w:rFonts w:ascii="Arial" w:hAnsi="Arial" w:cs="Arial"/>
        </w:rPr>
        <w:t xml:space="preserve">Fidelity Security Services (Pty) Ltd, (“Fidelity”) </w:t>
      </w:r>
      <w:r w:rsidR="001A59E9" w:rsidRPr="007B2099">
        <w:rPr>
          <w:rFonts w:ascii="Arial" w:hAnsi="Arial" w:cs="Arial"/>
        </w:rPr>
        <w:t xml:space="preserve">and </w:t>
      </w:r>
      <w:r w:rsidRPr="007B2099">
        <w:rPr>
          <w:rFonts w:ascii="Arial" w:hAnsi="Arial" w:cs="Arial"/>
        </w:rPr>
        <w:t>Analytical Risk, trading as 2RM Security (“2RM”)</w:t>
      </w:r>
      <w:r w:rsidR="001A59E9" w:rsidRPr="007B2099">
        <w:rPr>
          <w:rFonts w:ascii="Arial" w:hAnsi="Arial" w:cs="Arial"/>
        </w:rPr>
        <w:t>,</w:t>
      </w:r>
      <w:r w:rsidRPr="007B2099">
        <w:rPr>
          <w:rFonts w:ascii="Arial" w:hAnsi="Arial" w:cs="Arial"/>
        </w:rPr>
        <w:t xml:space="preserve"> and some related entities. </w:t>
      </w:r>
    </w:p>
    <w:p w14:paraId="35D49B86" w14:textId="77777777" w:rsidR="002E0D54" w:rsidRPr="007B2099" w:rsidRDefault="001A59E9" w:rsidP="006D3576">
      <w:pPr>
        <w:ind w:left="737" w:right="737"/>
        <w:jc w:val="both"/>
        <w:rPr>
          <w:rFonts w:ascii="Arial" w:hAnsi="Arial" w:cs="Arial"/>
        </w:rPr>
      </w:pPr>
      <w:r w:rsidRPr="007B2099">
        <w:rPr>
          <w:rFonts w:ascii="Arial" w:hAnsi="Arial" w:cs="Arial"/>
        </w:rPr>
        <w:t xml:space="preserve">This merger will give Fidelity, a </w:t>
      </w:r>
      <w:r w:rsidR="002E0D54" w:rsidRPr="007B2099">
        <w:rPr>
          <w:rFonts w:ascii="Arial" w:hAnsi="Arial" w:cs="Arial"/>
        </w:rPr>
        <w:t>wholly-owned subsid</w:t>
      </w:r>
      <w:r w:rsidRPr="007B2099">
        <w:rPr>
          <w:rFonts w:ascii="Arial" w:hAnsi="Arial" w:cs="Arial"/>
        </w:rPr>
        <w:t xml:space="preserve">iary of Fidelity Security Group, control over the target companies. </w:t>
      </w:r>
    </w:p>
    <w:p w14:paraId="385F319B" w14:textId="77777777" w:rsidR="002E0D54" w:rsidRPr="007B2099" w:rsidRDefault="002E0D54" w:rsidP="006D3576">
      <w:pPr>
        <w:ind w:left="737" w:right="737"/>
        <w:jc w:val="both"/>
        <w:rPr>
          <w:rFonts w:ascii="Arial" w:eastAsia="Calibri" w:hAnsi="Arial" w:cs="Arial"/>
        </w:rPr>
      </w:pPr>
      <w:r w:rsidRPr="007B2099">
        <w:rPr>
          <w:rFonts w:ascii="Arial" w:hAnsi="Arial" w:cs="Arial"/>
        </w:rPr>
        <w:t>The relevant market is the provision of guarding services and the regional market for technology and electronics.</w:t>
      </w:r>
    </w:p>
    <w:p w14:paraId="36FEDD8D" w14:textId="77777777" w:rsidR="002E0D54" w:rsidRPr="007B2099" w:rsidRDefault="002E0D54" w:rsidP="006D3576">
      <w:pPr>
        <w:ind w:left="737" w:right="737"/>
        <w:jc w:val="both"/>
        <w:rPr>
          <w:rFonts w:ascii="Arial" w:hAnsi="Arial" w:cs="Arial"/>
        </w:rPr>
      </w:pPr>
      <w:r w:rsidRPr="007B2099">
        <w:rPr>
          <w:rFonts w:ascii="Arial" w:hAnsi="Arial" w:cs="Arial"/>
        </w:rPr>
        <w:lastRenderedPageBreak/>
        <w:t>The Acquiring Group’s key areas of business include Monitoring and Response, Cash-in-Transit services, cash handling devices, cash processing services, guarding and electronic solutions.</w:t>
      </w:r>
    </w:p>
    <w:p w14:paraId="6A8646AF" w14:textId="77777777" w:rsidR="002E0D54" w:rsidRPr="007B2099" w:rsidRDefault="002E0D54" w:rsidP="006D3576">
      <w:pPr>
        <w:ind w:left="737" w:right="737"/>
        <w:jc w:val="both"/>
        <w:rPr>
          <w:rFonts w:ascii="Arial" w:hAnsi="Arial" w:cs="Arial"/>
        </w:rPr>
      </w:pPr>
      <w:r w:rsidRPr="007B2099">
        <w:rPr>
          <w:rFonts w:ascii="Arial" w:hAnsi="Arial" w:cs="Arial"/>
        </w:rPr>
        <w:t xml:space="preserve">The Target Group is active in the private security </w:t>
      </w:r>
      <w:proofErr w:type="gramStart"/>
      <w:r w:rsidRPr="007B2099">
        <w:rPr>
          <w:rFonts w:ascii="Arial" w:hAnsi="Arial" w:cs="Arial"/>
        </w:rPr>
        <w:t>sector, and</w:t>
      </w:r>
      <w:proofErr w:type="gramEnd"/>
      <w:r w:rsidRPr="007B2099">
        <w:rPr>
          <w:rFonts w:ascii="Arial" w:hAnsi="Arial" w:cs="Arial"/>
        </w:rPr>
        <w:t xml:space="preserve"> is primarily active in the provision of guarding services.</w:t>
      </w:r>
    </w:p>
    <w:p w14:paraId="3C5286F5" w14:textId="77777777" w:rsidR="002E0D54" w:rsidRPr="007B2099" w:rsidRDefault="002E0D54" w:rsidP="006D3576">
      <w:pPr>
        <w:spacing w:after="160"/>
        <w:ind w:left="737" w:right="737"/>
        <w:jc w:val="both"/>
        <w:rPr>
          <w:rFonts w:ascii="Arial" w:hAnsi="Arial" w:cs="Arial"/>
        </w:rPr>
      </w:pPr>
      <w:r w:rsidRPr="007B2099">
        <w:rPr>
          <w:rFonts w:ascii="Arial" w:hAnsi="Arial" w:cs="Arial"/>
        </w:rPr>
        <w:t xml:space="preserve">This is a business rescue transaction, whereby Fidelity intends to acquire control of 2RM. </w:t>
      </w:r>
      <w:r w:rsidR="00E273D8" w:rsidRPr="007B2099">
        <w:rPr>
          <w:rFonts w:ascii="Arial" w:hAnsi="Arial" w:cs="Arial"/>
        </w:rPr>
        <w:t xml:space="preserve">A moratorium has been played on retrenchments for a specified period. </w:t>
      </w:r>
      <w:r w:rsidR="0030205A" w:rsidRPr="007B2099">
        <w:rPr>
          <w:rFonts w:ascii="Arial" w:hAnsi="Arial" w:cs="Arial"/>
        </w:rPr>
        <w:t xml:space="preserve"> </w:t>
      </w:r>
    </w:p>
    <w:p w14:paraId="4510479C" w14:textId="77777777" w:rsidR="00C45759" w:rsidRPr="007B2099" w:rsidRDefault="001A59E9" w:rsidP="006D3576">
      <w:pPr>
        <w:ind w:left="737" w:right="737"/>
        <w:jc w:val="both"/>
        <w:rPr>
          <w:rFonts w:ascii="Arial" w:eastAsia="Calibri" w:hAnsi="Arial" w:cs="Arial"/>
        </w:rPr>
      </w:pPr>
      <w:r w:rsidRPr="007B2099">
        <w:rPr>
          <w:rFonts w:ascii="Arial" w:hAnsi="Arial" w:cs="Arial"/>
          <w:b/>
        </w:rPr>
        <w:t xml:space="preserve">Tribunal has approved the </w:t>
      </w:r>
      <w:r w:rsidR="00C45759" w:rsidRPr="007B2099">
        <w:rPr>
          <w:rFonts w:ascii="Arial" w:hAnsi="Arial" w:cs="Arial"/>
          <w:b/>
        </w:rPr>
        <w:t xml:space="preserve">merger between Omnia Holdings and </w:t>
      </w:r>
      <w:proofErr w:type="spellStart"/>
      <w:r w:rsidR="00C45759" w:rsidRPr="007B2099">
        <w:rPr>
          <w:rFonts w:ascii="Arial" w:hAnsi="Arial" w:cs="Arial"/>
          <w:b/>
        </w:rPr>
        <w:t>Umongo</w:t>
      </w:r>
      <w:proofErr w:type="spellEnd"/>
      <w:r w:rsidR="00C45759" w:rsidRPr="007B2099">
        <w:rPr>
          <w:rFonts w:ascii="Arial" w:hAnsi="Arial" w:cs="Arial"/>
          <w:b/>
        </w:rPr>
        <w:t xml:space="preserve"> Petroleum </w:t>
      </w:r>
    </w:p>
    <w:p w14:paraId="1C980703" w14:textId="77777777" w:rsidR="00C45759" w:rsidRPr="007B2099" w:rsidRDefault="001A59E9" w:rsidP="006D3576">
      <w:pPr>
        <w:spacing w:after="0"/>
        <w:ind w:left="737" w:right="737"/>
        <w:jc w:val="both"/>
        <w:rPr>
          <w:rFonts w:ascii="Arial" w:hAnsi="Arial" w:cs="Arial"/>
        </w:rPr>
      </w:pPr>
      <w:r w:rsidRPr="007B2099">
        <w:rPr>
          <w:rFonts w:ascii="Arial" w:hAnsi="Arial" w:cs="Arial"/>
        </w:rPr>
        <w:t xml:space="preserve">The Tribunal has approved the merger between </w:t>
      </w:r>
      <w:r w:rsidR="00C45759" w:rsidRPr="007B2099">
        <w:rPr>
          <w:rFonts w:ascii="Arial" w:hAnsi="Arial" w:cs="Arial"/>
        </w:rPr>
        <w:t xml:space="preserve">Omnia </w:t>
      </w:r>
      <w:r w:rsidRPr="007B2099">
        <w:rPr>
          <w:rFonts w:ascii="Arial" w:hAnsi="Arial" w:cs="Arial"/>
        </w:rPr>
        <w:t xml:space="preserve">and </w:t>
      </w:r>
      <w:proofErr w:type="spellStart"/>
      <w:r w:rsidR="00C45759" w:rsidRPr="007B2099">
        <w:rPr>
          <w:rFonts w:ascii="Arial" w:hAnsi="Arial" w:cs="Arial"/>
        </w:rPr>
        <w:t>Umongo</w:t>
      </w:r>
      <w:proofErr w:type="spellEnd"/>
      <w:r w:rsidR="00C45759" w:rsidRPr="007B2099">
        <w:rPr>
          <w:rFonts w:ascii="Arial" w:hAnsi="Arial" w:cs="Arial"/>
        </w:rPr>
        <w:t xml:space="preserve"> Petroleum (Pty) Ltd (“</w:t>
      </w:r>
      <w:proofErr w:type="spellStart"/>
      <w:r w:rsidR="00C45759" w:rsidRPr="007B2099">
        <w:rPr>
          <w:rFonts w:ascii="Arial" w:hAnsi="Arial" w:cs="Arial"/>
        </w:rPr>
        <w:t>Umongo</w:t>
      </w:r>
      <w:proofErr w:type="spellEnd"/>
      <w:r w:rsidR="00C45759" w:rsidRPr="007B2099">
        <w:rPr>
          <w:rFonts w:ascii="Arial" w:hAnsi="Arial" w:cs="Arial"/>
        </w:rPr>
        <w:t xml:space="preserve">”). </w:t>
      </w:r>
    </w:p>
    <w:p w14:paraId="0F51C1AE" w14:textId="77777777" w:rsidR="00C45759" w:rsidRPr="007B2099" w:rsidRDefault="00C45759" w:rsidP="006D3576">
      <w:pPr>
        <w:spacing w:after="0"/>
        <w:ind w:left="737" w:right="737"/>
        <w:jc w:val="both"/>
        <w:rPr>
          <w:rFonts w:ascii="Arial" w:eastAsia="Calibri" w:hAnsi="Arial" w:cs="Arial"/>
        </w:rPr>
      </w:pPr>
    </w:p>
    <w:p w14:paraId="4E7FDD8B" w14:textId="77777777" w:rsidR="00C45759" w:rsidRPr="007B2099" w:rsidRDefault="00C45759" w:rsidP="006D3576">
      <w:pPr>
        <w:spacing w:after="0"/>
        <w:ind w:left="737" w:right="737"/>
        <w:jc w:val="both"/>
        <w:rPr>
          <w:rFonts w:ascii="Arial" w:hAnsi="Arial" w:cs="Arial"/>
        </w:rPr>
      </w:pPr>
      <w:r w:rsidRPr="007B2099">
        <w:rPr>
          <w:rFonts w:ascii="Arial" w:hAnsi="Arial" w:cs="Arial"/>
        </w:rPr>
        <w:t xml:space="preserve">The Acquiring firm, Omnia Group, controls a number of firms in South Africa (SA), Mauritius and Namibia and comprises an agricultural division, a supplier of mining chemicals and explosives, and further imports </w:t>
      </w:r>
      <w:proofErr w:type="spellStart"/>
      <w:r w:rsidRPr="007B2099">
        <w:rPr>
          <w:rFonts w:ascii="Arial" w:hAnsi="Arial" w:cs="Arial"/>
        </w:rPr>
        <w:t>monoethylene</w:t>
      </w:r>
      <w:proofErr w:type="spellEnd"/>
      <w:r w:rsidRPr="007B2099">
        <w:rPr>
          <w:rFonts w:ascii="Arial" w:hAnsi="Arial" w:cs="Arial"/>
        </w:rPr>
        <w:t xml:space="preserve"> </w:t>
      </w:r>
      <w:proofErr w:type="spellStart"/>
      <w:r w:rsidRPr="007B2099">
        <w:rPr>
          <w:rFonts w:ascii="Arial" w:hAnsi="Arial" w:cs="Arial"/>
        </w:rPr>
        <w:t>gycol</w:t>
      </w:r>
      <w:proofErr w:type="spellEnd"/>
      <w:r w:rsidRPr="007B2099">
        <w:rPr>
          <w:rFonts w:ascii="Arial" w:hAnsi="Arial" w:cs="Arial"/>
        </w:rPr>
        <w:t xml:space="preserve"> (MEG). The Omnia Group only started to supply base oils in 2015. Omnia Group does not supply lubricants, additive or speciality products supplied by the Target firm, </w:t>
      </w:r>
      <w:proofErr w:type="spellStart"/>
      <w:r w:rsidRPr="007B2099">
        <w:rPr>
          <w:rFonts w:ascii="Arial" w:hAnsi="Arial" w:cs="Arial"/>
        </w:rPr>
        <w:t>Umongo</w:t>
      </w:r>
      <w:proofErr w:type="spellEnd"/>
      <w:r w:rsidRPr="007B2099">
        <w:rPr>
          <w:rFonts w:ascii="Arial" w:hAnsi="Arial" w:cs="Arial"/>
        </w:rPr>
        <w:t xml:space="preserve">. Post-merger Omnia Group will control </w:t>
      </w:r>
      <w:proofErr w:type="spellStart"/>
      <w:r w:rsidRPr="007B2099">
        <w:rPr>
          <w:rFonts w:ascii="Arial" w:hAnsi="Arial" w:cs="Arial"/>
        </w:rPr>
        <w:t>Umongo</w:t>
      </w:r>
      <w:proofErr w:type="spellEnd"/>
      <w:r w:rsidRPr="007B2099">
        <w:rPr>
          <w:rFonts w:ascii="Arial" w:hAnsi="Arial" w:cs="Arial"/>
        </w:rPr>
        <w:t>.</w:t>
      </w:r>
    </w:p>
    <w:p w14:paraId="1A62F337" w14:textId="77777777" w:rsidR="00C45759" w:rsidRPr="007B2099" w:rsidRDefault="00C45759" w:rsidP="006D3576">
      <w:pPr>
        <w:pStyle w:val="ListParagraph"/>
        <w:spacing w:after="0"/>
        <w:ind w:left="737" w:right="737"/>
        <w:jc w:val="both"/>
        <w:rPr>
          <w:rFonts w:ascii="Arial" w:hAnsi="Arial" w:cs="Arial"/>
        </w:rPr>
      </w:pPr>
    </w:p>
    <w:p w14:paraId="61195706" w14:textId="77777777" w:rsidR="00C45759" w:rsidRPr="007B2099" w:rsidRDefault="00C45759" w:rsidP="006D3576">
      <w:pPr>
        <w:spacing w:after="0"/>
        <w:ind w:left="737" w:right="737"/>
        <w:jc w:val="both"/>
        <w:rPr>
          <w:rFonts w:ascii="Arial" w:hAnsi="Arial" w:cs="Arial"/>
        </w:rPr>
      </w:pPr>
      <w:proofErr w:type="spellStart"/>
      <w:r w:rsidRPr="007B2099">
        <w:rPr>
          <w:rFonts w:ascii="Arial" w:hAnsi="Arial" w:cs="Arial"/>
        </w:rPr>
        <w:t>Umongo</w:t>
      </w:r>
      <w:proofErr w:type="spellEnd"/>
      <w:r w:rsidRPr="007B2099">
        <w:rPr>
          <w:rFonts w:ascii="Arial" w:hAnsi="Arial" w:cs="Arial"/>
        </w:rPr>
        <w:t xml:space="preserve"> is a distributor of additives, base oils and other related petroleum, oil lubricants, speciality products and finished products in RSA and Sub-Saharan Africa (SSA). </w:t>
      </w:r>
      <w:proofErr w:type="spellStart"/>
      <w:r w:rsidRPr="007B2099">
        <w:rPr>
          <w:rFonts w:ascii="Arial" w:hAnsi="Arial" w:cs="Arial"/>
        </w:rPr>
        <w:t>Umongo</w:t>
      </w:r>
      <w:proofErr w:type="spellEnd"/>
      <w:r w:rsidRPr="007B2099">
        <w:rPr>
          <w:rFonts w:ascii="Arial" w:hAnsi="Arial" w:cs="Arial"/>
        </w:rPr>
        <w:t xml:space="preserve"> supplies small quantities MEG. </w:t>
      </w:r>
      <w:proofErr w:type="spellStart"/>
      <w:r w:rsidRPr="007B2099">
        <w:rPr>
          <w:rFonts w:ascii="Arial" w:hAnsi="Arial" w:cs="Arial"/>
        </w:rPr>
        <w:t>Umongo</w:t>
      </w:r>
      <w:proofErr w:type="spellEnd"/>
      <w:r w:rsidRPr="007B2099">
        <w:rPr>
          <w:rFonts w:ascii="Arial" w:hAnsi="Arial" w:cs="Arial"/>
        </w:rPr>
        <w:t xml:space="preserve"> supplies Group I base oils, white oils and other types of oils. </w:t>
      </w:r>
    </w:p>
    <w:p w14:paraId="242C7D6A" w14:textId="77777777" w:rsidR="00652689" w:rsidRPr="007B2099" w:rsidRDefault="00652689" w:rsidP="006D3576">
      <w:pPr>
        <w:spacing w:after="0"/>
        <w:ind w:left="737" w:right="737"/>
        <w:jc w:val="both"/>
        <w:rPr>
          <w:rFonts w:ascii="Arial" w:hAnsi="Arial" w:cs="Arial"/>
        </w:rPr>
      </w:pPr>
    </w:p>
    <w:p w14:paraId="59D40520"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Issued by: </w:t>
      </w:r>
    </w:p>
    <w:p w14:paraId="35D5909D" w14:textId="77777777"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 xml:space="preserve">Chantelle Benjamin </w:t>
      </w:r>
    </w:p>
    <w:p w14:paraId="5D19B7C4" w14:textId="77777777"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Communications: Competition Tribunal   </w:t>
      </w:r>
    </w:p>
    <w:p w14:paraId="3EABC726" w14:textId="77777777"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 xml:space="preserve">Tel (012)394 1383                                      </w:t>
      </w:r>
    </w:p>
    <w:p w14:paraId="5F03DAB0" w14:textId="77777777"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Cell: +27 (0) 73 007 5603  </w:t>
      </w:r>
    </w:p>
    <w:p w14:paraId="31E982A1"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Twitter: @comptrib                                        </w:t>
      </w:r>
    </w:p>
    <w:p w14:paraId="66453B85" w14:textId="77777777" w:rsidR="00652689" w:rsidRPr="007B2099" w:rsidRDefault="00652689" w:rsidP="006D3576">
      <w:pPr>
        <w:spacing w:after="0"/>
        <w:ind w:left="737" w:right="737"/>
        <w:jc w:val="both"/>
        <w:rPr>
          <w:rFonts w:ascii="Arial" w:hAnsi="Arial" w:cs="Arial"/>
        </w:rPr>
      </w:pPr>
      <w:r w:rsidRPr="007B2099">
        <w:rPr>
          <w:rFonts w:ascii="Arial" w:hAnsi="Arial" w:cs="Arial"/>
          <w:color w:val="000000"/>
          <w:lang w:eastAsia="en-ZA"/>
        </w:rPr>
        <w:t xml:space="preserve">E-Mail: </w:t>
      </w:r>
      <w:hyperlink r:id="rId8" w:history="1">
        <w:r w:rsidRPr="007B2099">
          <w:rPr>
            <w:rStyle w:val="Hyperlink"/>
            <w:rFonts w:ascii="Arial" w:hAnsi="Arial" w:cs="Arial"/>
            <w:lang w:eastAsia="en-ZA"/>
          </w:rPr>
          <w:t>chantelleb@comptrib.co.za</w:t>
        </w:r>
      </w:hyperlink>
      <w:r w:rsidRPr="007B2099">
        <w:rPr>
          <w:rFonts w:ascii="Arial" w:hAnsi="Arial" w:cs="Arial"/>
        </w:rPr>
        <w:t xml:space="preserve"> </w:t>
      </w:r>
    </w:p>
    <w:p w14:paraId="09093FC7" w14:textId="77777777" w:rsidR="00652689" w:rsidRPr="007B2099" w:rsidRDefault="00652689" w:rsidP="006D3576">
      <w:pPr>
        <w:spacing w:after="0"/>
        <w:ind w:left="737" w:right="737"/>
        <w:jc w:val="both"/>
        <w:rPr>
          <w:rFonts w:ascii="Arial" w:hAnsi="Arial" w:cs="Arial"/>
          <w:color w:val="000000"/>
        </w:rPr>
      </w:pPr>
    </w:p>
    <w:p w14:paraId="42E05C55" w14:textId="77777777" w:rsidR="00652689" w:rsidRPr="007B2099" w:rsidRDefault="00652689" w:rsidP="006D3576">
      <w:pPr>
        <w:spacing w:after="0"/>
        <w:ind w:left="737" w:right="737"/>
        <w:jc w:val="both"/>
        <w:rPr>
          <w:rFonts w:ascii="Arial" w:hAnsi="Arial" w:cs="Arial"/>
          <w:color w:val="000000"/>
        </w:rPr>
      </w:pPr>
    </w:p>
    <w:p w14:paraId="3442F4B5"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On Behalf Of:</w:t>
      </w:r>
    </w:p>
    <w:p w14:paraId="07B296B4"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Lerato Motaung                                                   </w:t>
      </w:r>
    </w:p>
    <w:p w14:paraId="694C2DC9"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Registrar: Competition Tribunal                                         </w:t>
      </w:r>
    </w:p>
    <w:p w14:paraId="2A857347"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Tel: (012) 394 3355                                              </w:t>
      </w:r>
    </w:p>
    <w:p w14:paraId="5CA43CEA"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Cell: +27 (0) 82 556 3221                                               </w:t>
      </w:r>
    </w:p>
    <w:p w14:paraId="23C1B9D9" w14:textId="77777777" w:rsidR="00652689" w:rsidRPr="007B2099" w:rsidRDefault="00652689" w:rsidP="006D3576">
      <w:pPr>
        <w:spacing w:after="0"/>
        <w:ind w:left="737" w:right="737"/>
        <w:jc w:val="both"/>
        <w:rPr>
          <w:rFonts w:ascii="Arial" w:hAnsi="Arial" w:cs="Arial"/>
        </w:rPr>
      </w:pPr>
      <w:r w:rsidRPr="007B2099">
        <w:rPr>
          <w:rFonts w:ascii="Arial" w:hAnsi="Arial" w:cs="Arial"/>
          <w:color w:val="000000"/>
          <w:lang w:eastAsia="en-ZA"/>
        </w:rPr>
        <w:t xml:space="preserve">E-Mail: </w:t>
      </w:r>
      <w:hyperlink r:id="rId9" w:history="1">
        <w:r w:rsidRPr="007B2099">
          <w:rPr>
            <w:rStyle w:val="Hyperlink"/>
            <w:rFonts w:ascii="Arial" w:hAnsi="Arial" w:cs="Arial"/>
            <w:lang w:eastAsia="en-ZA"/>
          </w:rPr>
          <w:t>LeratoM@comptrib.co.za</w:t>
        </w:r>
      </w:hyperlink>
    </w:p>
    <w:p w14:paraId="5A036F54" w14:textId="77777777" w:rsidR="00652689" w:rsidRPr="00C45759" w:rsidRDefault="00652689" w:rsidP="00DE53FD">
      <w:pPr>
        <w:spacing w:after="0"/>
        <w:ind w:left="567" w:right="567"/>
        <w:jc w:val="both"/>
        <w:rPr>
          <w:rFonts w:ascii="Arial" w:hAnsi="Arial" w:cs="Arial"/>
          <w:sz w:val="24"/>
          <w:szCs w:val="24"/>
        </w:rPr>
      </w:pPr>
    </w:p>
    <w:p w14:paraId="50D2DDE1" w14:textId="77777777" w:rsidR="00C45759" w:rsidRPr="00C45759" w:rsidRDefault="00C45759" w:rsidP="00DE53FD">
      <w:pPr>
        <w:spacing w:line="360" w:lineRule="auto"/>
        <w:ind w:left="567" w:right="567"/>
        <w:jc w:val="both"/>
      </w:pPr>
    </w:p>
    <w:p w14:paraId="4496DDF3" w14:textId="77777777" w:rsidR="00CF7F77" w:rsidRDefault="00CF7F77" w:rsidP="008E5895">
      <w:pPr>
        <w:ind w:left="567" w:right="567"/>
        <w:rPr>
          <w:rFonts w:ascii="Arial" w:hAnsi="Arial" w:cs="Arial"/>
          <w:sz w:val="24"/>
          <w:szCs w:val="24"/>
        </w:rPr>
      </w:pPr>
    </w:p>
    <w:p w14:paraId="6ACD8B9E" w14:textId="77777777" w:rsidR="00CF7F77" w:rsidRDefault="00CF7F77" w:rsidP="000F0C06">
      <w:pPr>
        <w:rPr>
          <w:rFonts w:ascii="Arial" w:hAnsi="Arial" w:cs="Arial"/>
          <w:sz w:val="24"/>
          <w:szCs w:val="24"/>
        </w:rPr>
      </w:pPr>
    </w:p>
    <w:p w14:paraId="6A720C28" w14:textId="77777777" w:rsidR="00CF7F77" w:rsidRDefault="00CF7F77" w:rsidP="000F0C06">
      <w:pPr>
        <w:rPr>
          <w:rFonts w:ascii="Arial" w:hAnsi="Arial" w:cs="Arial"/>
          <w:sz w:val="24"/>
          <w:szCs w:val="24"/>
        </w:rPr>
      </w:pPr>
    </w:p>
    <w:sectPr w:rsidR="00CF7F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1BB2C" w14:textId="77777777" w:rsidR="00227169" w:rsidRDefault="00227169" w:rsidP="000F0C06">
      <w:pPr>
        <w:spacing w:after="0" w:line="240" w:lineRule="auto"/>
      </w:pPr>
      <w:r>
        <w:separator/>
      </w:r>
    </w:p>
  </w:endnote>
  <w:endnote w:type="continuationSeparator" w:id="0">
    <w:p w14:paraId="3875DF88" w14:textId="77777777" w:rsidR="00227169" w:rsidRDefault="00227169" w:rsidP="000F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DA8C5" w14:textId="77777777" w:rsidR="00227169" w:rsidRDefault="00227169" w:rsidP="000F0C06">
      <w:pPr>
        <w:spacing w:after="0" w:line="240" w:lineRule="auto"/>
      </w:pPr>
      <w:r>
        <w:separator/>
      </w:r>
    </w:p>
  </w:footnote>
  <w:footnote w:type="continuationSeparator" w:id="0">
    <w:p w14:paraId="223D0D6E" w14:textId="77777777" w:rsidR="00227169" w:rsidRDefault="00227169" w:rsidP="000F0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51CF1"/>
    <w:multiLevelType w:val="hybridMultilevel"/>
    <w:tmpl w:val="EB6C28FC"/>
    <w:lvl w:ilvl="0" w:tplc="1C09000F">
      <w:start w:val="1"/>
      <w:numFmt w:val="decimal"/>
      <w:lvlText w:val="%1."/>
      <w:lvlJc w:val="left"/>
      <w:pPr>
        <w:ind w:left="720" w:hanging="360"/>
      </w:pPr>
      <w:rPr>
        <w:rFonts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981EE7"/>
    <w:multiLevelType w:val="hybridMultilevel"/>
    <w:tmpl w:val="69D47166"/>
    <w:lvl w:ilvl="0" w:tplc="1C090001">
      <w:start w:val="1"/>
      <w:numFmt w:val="bullet"/>
      <w:lvlText w:val=""/>
      <w:lvlJc w:val="left"/>
      <w:pPr>
        <w:ind w:left="720" w:hanging="360"/>
      </w:pPr>
      <w:rPr>
        <w:rFonts w:ascii="Symbol" w:hAnsi="Symbo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C6849DF"/>
    <w:multiLevelType w:val="hybridMultilevel"/>
    <w:tmpl w:val="576A07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E0A5700"/>
    <w:multiLevelType w:val="hybridMultilevel"/>
    <w:tmpl w:val="DA6CDD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77B6F00"/>
    <w:multiLevelType w:val="hybridMultilevel"/>
    <w:tmpl w:val="B6E893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8F052B0"/>
    <w:multiLevelType w:val="hybridMultilevel"/>
    <w:tmpl w:val="ECFAF938"/>
    <w:lvl w:ilvl="0" w:tplc="1C090001">
      <w:start w:val="1"/>
      <w:numFmt w:val="bullet"/>
      <w:lvlText w:val=""/>
      <w:lvlJc w:val="left"/>
      <w:pPr>
        <w:ind w:left="720" w:hanging="360"/>
      </w:pPr>
      <w:rPr>
        <w:rFonts w:ascii="Symbol" w:hAnsi="Symbo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D782C92"/>
    <w:multiLevelType w:val="hybridMultilevel"/>
    <w:tmpl w:val="839454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860AFA"/>
    <w:multiLevelType w:val="hybridMultilevel"/>
    <w:tmpl w:val="891697A2"/>
    <w:lvl w:ilvl="0" w:tplc="DD627896">
      <w:start w:val="1"/>
      <w:numFmt w:val="bullet"/>
      <w:lvlText w:val=""/>
      <w:lvlJc w:val="left"/>
      <w:pPr>
        <w:ind w:left="720" w:hanging="360"/>
      </w:pPr>
      <w:rPr>
        <w:rFonts w:ascii="Symbol" w:eastAsiaTheme="minorHAnsi" w:hAnsi="Symbol" w:cs="Aria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9216EB1"/>
    <w:multiLevelType w:val="hybridMultilevel"/>
    <w:tmpl w:val="A4D2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93F78"/>
    <w:multiLevelType w:val="hybridMultilevel"/>
    <w:tmpl w:val="DD94104E"/>
    <w:lvl w:ilvl="0" w:tplc="1C090001">
      <w:start w:val="1"/>
      <w:numFmt w:val="bullet"/>
      <w:lvlText w:val=""/>
      <w:lvlJc w:val="left"/>
      <w:pPr>
        <w:ind w:left="720" w:hanging="360"/>
      </w:pPr>
      <w:rPr>
        <w:rFonts w:ascii="Symbol" w:hAnsi="Symbo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2"/>
  </w:num>
  <w:num w:numId="5">
    <w:abstractNumId w:val="4"/>
  </w:num>
  <w:num w:numId="6">
    <w:abstractNumId w:val="8"/>
  </w:num>
  <w:num w:numId="7">
    <w:abstractNumId w:val="9"/>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06"/>
    <w:rsid w:val="0000669E"/>
    <w:rsid w:val="00033DDB"/>
    <w:rsid w:val="0009217A"/>
    <w:rsid w:val="00092824"/>
    <w:rsid w:val="000F0C06"/>
    <w:rsid w:val="00141C0B"/>
    <w:rsid w:val="001A59E9"/>
    <w:rsid w:val="001C278C"/>
    <w:rsid w:val="001E5798"/>
    <w:rsid w:val="00227169"/>
    <w:rsid w:val="002E0D54"/>
    <w:rsid w:val="0030205A"/>
    <w:rsid w:val="003578EC"/>
    <w:rsid w:val="003C165A"/>
    <w:rsid w:val="00482491"/>
    <w:rsid w:val="004F1B58"/>
    <w:rsid w:val="00652689"/>
    <w:rsid w:val="006A2BFC"/>
    <w:rsid w:val="006D3576"/>
    <w:rsid w:val="007432CA"/>
    <w:rsid w:val="00760424"/>
    <w:rsid w:val="007B2099"/>
    <w:rsid w:val="008E420F"/>
    <w:rsid w:val="008E5895"/>
    <w:rsid w:val="0098236A"/>
    <w:rsid w:val="00A41717"/>
    <w:rsid w:val="00B31B45"/>
    <w:rsid w:val="00C45759"/>
    <w:rsid w:val="00CF7F77"/>
    <w:rsid w:val="00D67C56"/>
    <w:rsid w:val="00D93CA7"/>
    <w:rsid w:val="00DE53FD"/>
    <w:rsid w:val="00DF14B6"/>
    <w:rsid w:val="00E273D8"/>
    <w:rsid w:val="00F0133F"/>
    <w:rsid w:val="00F153FA"/>
    <w:rsid w:val="00F31EE5"/>
    <w:rsid w:val="00F54ED2"/>
    <w:rsid w:val="00F62C9A"/>
    <w:rsid w:val="00FF7E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4748"/>
  <w15:chartTrackingRefBased/>
  <w15:docId w15:val="{9DBC340E-917C-423B-BF4F-E20A405D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C06"/>
    <w:pPr>
      <w:ind w:left="720"/>
      <w:contextualSpacing/>
    </w:pPr>
  </w:style>
  <w:style w:type="paragraph" w:styleId="FootnoteText">
    <w:name w:val="footnote text"/>
    <w:basedOn w:val="Normal"/>
    <w:link w:val="FootnoteTextChar"/>
    <w:uiPriority w:val="99"/>
    <w:semiHidden/>
    <w:unhideWhenUsed/>
    <w:rsid w:val="000F0C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C06"/>
    <w:rPr>
      <w:sz w:val="20"/>
      <w:szCs w:val="20"/>
    </w:rPr>
  </w:style>
  <w:style w:type="character" w:styleId="FootnoteReference">
    <w:name w:val="footnote reference"/>
    <w:basedOn w:val="DefaultParagraphFont"/>
    <w:uiPriority w:val="99"/>
    <w:semiHidden/>
    <w:unhideWhenUsed/>
    <w:rsid w:val="000F0C06"/>
    <w:rPr>
      <w:vertAlign w:val="superscript"/>
    </w:rPr>
  </w:style>
  <w:style w:type="table" w:styleId="TableGrid">
    <w:name w:val="Table Grid"/>
    <w:basedOn w:val="TableNormal"/>
    <w:uiPriority w:val="59"/>
    <w:rsid w:val="000F0C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4575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45759"/>
    <w:rPr>
      <w:color w:val="0000FF"/>
      <w:u w:val="single"/>
    </w:rPr>
  </w:style>
  <w:style w:type="paragraph" w:styleId="BalloonText">
    <w:name w:val="Balloon Text"/>
    <w:basedOn w:val="Normal"/>
    <w:link w:val="BalloonTextChar"/>
    <w:uiPriority w:val="99"/>
    <w:semiHidden/>
    <w:unhideWhenUsed/>
    <w:rsid w:val="00FF7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E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2019-04-24T18:41:00Z</dcterms:created>
  <dcterms:modified xsi:type="dcterms:W3CDTF">2019-04-24T18:41:00Z</dcterms:modified>
</cp:coreProperties>
</file>